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40"/>
        <w:rPr/>
      </w:pPr>
      <w:r>
        <w:rPr>
          <w:rFonts w:eastAsia="Calibri" w:cs="Calibri"/>
          <w:b/>
        </w:rPr>
        <w:t xml:space="preserve">ΣΥΝΕΔΡΙΑΣΗ: </w:t>
      </w:r>
      <w:r>
        <w:rPr>
          <w:rFonts w:eastAsia="Calibri" w:cs="Calibri"/>
          <w:b/>
        </w:rPr>
        <w:t xml:space="preserve">1η Επαναληπτική </w:t>
      </w:r>
      <w:r>
        <w:rPr>
          <w:rFonts w:eastAsia="Calibri" w:cs="Calibri"/>
        </w:rPr>
        <w:t>Τακτική Συνεδρίαση</w:t>
      </w:r>
    </w:p>
    <w:p>
      <w:pPr>
        <w:pStyle w:val="Normal"/>
        <w:suppressAutoHyphens w:val="true"/>
        <w:spacing w:lineRule="exact" w:line="240"/>
        <w:rPr/>
      </w:pPr>
      <w:r>
        <w:rPr>
          <w:rFonts w:eastAsia="Calibri" w:cs="Calibri"/>
          <w:b/>
        </w:rPr>
        <w:t xml:space="preserve">ΑΡ. ΠΡΟΣΚΛΗΣΗΣ: </w:t>
      </w:r>
      <w:r>
        <w:rPr>
          <w:rFonts w:eastAsia="Calibri" w:cs="Calibri"/>
          <w:b w:val="false"/>
          <w:bCs w:val="false"/>
        </w:rPr>
        <w:t>9</w:t>
      </w:r>
      <w:r>
        <w:rPr>
          <w:rFonts w:eastAsia="Calibri" w:cs="Calibri"/>
          <w:b w:val="false"/>
          <w:bCs w:val="false"/>
          <w:vertAlign w:val="superscript"/>
        </w:rPr>
        <w:t>η</w:t>
      </w:r>
      <w:r>
        <w:rPr>
          <w:rFonts w:eastAsia="Calibri" w:cs="Calibri"/>
          <w:b w:val="false"/>
          <w:bCs w:val="false"/>
        </w:rPr>
        <w:t xml:space="preserve"> /202</w:t>
      </w:r>
      <w:r>
        <w:rPr>
          <w:rFonts w:eastAsia="Calibri" w:cs="Calibri"/>
          <w:b w:val="false"/>
          <w:bCs w:val="false"/>
        </w:rPr>
        <w:t>3</w:t>
      </w:r>
    </w:p>
    <w:p>
      <w:pPr>
        <w:pStyle w:val="Normal"/>
        <w:suppressAutoHyphens w:val="true"/>
        <w:spacing w:lineRule="exact" w:line="240"/>
        <w:rPr/>
      </w:pPr>
      <w:r>
        <w:rPr>
          <w:rFonts w:eastAsia="Calibri" w:cs="Calibri"/>
          <w:b/>
        </w:rPr>
        <w:t xml:space="preserve">ΑΡ. ΠΡΩΤ.: </w:t>
      </w:r>
      <w:r>
        <w:rPr>
          <w:rFonts w:eastAsia="Calibri" w:cs="Calibri"/>
          <w:b w:val="false"/>
          <w:bCs w:val="false"/>
        </w:rPr>
        <w:t>890</w:t>
      </w:r>
    </w:p>
    <w:p>
      <w:pPr>
        <w:pStyle w:val="Normal"/>
        <w:suppressAutoHyphens w:val="true"/>
        <w:spacing w:lineRule="exact" w:line="240"/>
        <w:rPr>
          <w:rFonts w:eastAsia="Calibri" w:cs="Calibri"/>
          <w:b/>
          <w:b/>
        </w:rPr>
      </w:pPr>
      <w:r>
        <w:rPr>
          <w:rFonts w:eastAsia="Calibri" w:cs="Calibri"/>
          <w:b/>
        </w:rPr>
        <w:t>ΣΧΟΛΙΚΗ ΕΠΙΤΡΟΠΗ ΣΧΟΛΙΚΩΝ ΜΟΝΑΔΩΝ</w:t>
      </w:r>
    </w:p>
    <w:p>
      <w:pPr>
        <w:pStyle w:val="Normal"/>
        <w:suppressAutoHyphens w:val="true"/>
        <w:spacing w:lineRule="exact" w:line="240"/>
        <w:rPr>
          <w:rFonts w:eastAsia="Calibri" w:cs="Calibri"/>
          <w:b/>
          <w:b/>
        </w:rPr>
      </w:pPr>
      <w:r>
        <w:rPr>
          <w:rFonts w:eastAsia="Calibri" w:cs="Calibri"/>
          <w:b/>
        </w:rPr>
        <w:t>ΠΡΩΤΟΒΑΘΜΙΑΣ ΕΚΠΑΙΔΕΥΣΗΣ</w:t>
      </w:r>
    </w:p>
    <w:p>
      <w:pPr>
        <w:pStyle w:val="Normal"/>
        <w:suppressAutoHyphens w:val="true"/>
        <w:spacing w:lineRule="exact" w:line="240"/>
        <w:rPr>
          <w:rFonts w:eastAsia="Calibri" w:cs="Calibri"/>
          <w:b/>
          <w:b/>
        </w:rPr>
      </w:pPr>
      <w:r>
        <w:rPr>
          <w:rFonts w:eastAsia="Calibri" w:cs="Calibri"/>
          <w:b/>
        </w:rPr>
        <w:t>ΔΗΜΟΥ ΔΙΟΝΥΣΟΥ</w:t>
      </w:r>
    </w:p>
    <w:p>
      <w:pPr>
        <w:pStyle w:val="Normal"/>
        <w:suppressAutoHyphens w:val="true"/>
        <w:spacing w:lineRule="exact" w:line="240"/>
        <w:rPr>
          <w:rFonts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Normal"/>
        <w:suppressAutoHyphens w:val="true"/>
        <w:spacing w:lineRule="exact" w:line="240"/>
        <w:jc w:val="center"/>
        <w:rPr>
          <w:rFonts w:eastAsia="Calibri" w:cs="Calibri"/>
          <w:b/>
          <w:b/>
          <w:u w:val="single"/>
        </w:rPr>
      </w:pPr>
      <w:r>
        <w:rPr>
          <w:rFonts w:eastAsia="Calibri" w:cs="Calibri"/>
          <w:b/>
          <w:u w:val="single"/>
        </w:rPr>
        <w:t>ΕΙΣΗΓΗΣΗ</w:t>
      </w:r>
    </w:p>
    <w:p>
      <w:pPr>
        <w:pStyle w:val="Normal"/>
        <w:suppressAutoHyphens w:val="true"/>
        <w:spacing w:lineRule="exact" w:line="240"/>
        <w:jc w:val="both"/>
        <w:rPr>
          <w:rFonts w:ascii="Times New Roman" w:hAnsi="Times New Roman" w:eastAsia="Times New Roman" w:cs="Times New Roman"/>
          <w:b/>
          <w:b/>
          <w:sz w:val="21"/>
        </w:rPr>
      </w:pPr>
      <w:r>
        <w:rPr>
          <w:rFonts w:eastAsia="Times New Roman" w:cs="Times New Roman" w:ascii="Times New Roman" w:hAnsi="Times New Roman"/>
          <w:b/>
          <w:sz w:val="21"/>
        </w:rPr>
      </w:r>
    </w:p>
    <w:p>
      <w:pPr>
        <w:pStyle w:val="Normal"/>
        <w:suppressAutoHyphens w:val="true"/>
        <w:spacing w:lineRule="exact" w:line="240"/>
        <w:jc w:val="both"/>
        <w:rPr/>
      </w:pPr>
      <w:r>
        <w:rPr>
          <w:rFonts w:eastAsia="Andale Sans UI" w:cs="Times New Roman" w:ascii="Times New Roman Greek" w:hAnsi="Times New Roman Greek"/>
          <w:b/>
          <w:bCs/>
          <w:sz w:val="21"/>
          <w:szCs w:val="21"/>
        </w:rPr>
        <w:t>Θέμα 9:</w:t>
      </w:r>
      <w:r>
        <w:rPr>
          <w:rFonts w:eastAsia="Andale Sans UI" w:cs="Times New Roman" w:ascii="Times New Roman Greek" w:hAnsi="Times New Roman Greek"/>
          <w:bCs/>
          <w:sz w:val="21"/>
          <w:szCs w:val="21"/>
        </w:rPr>
        <w:t xml:space="preserve"> </w:t>
      </w:r>
      <w:bookmarkStart w:id="0" w:name="__DdeLink__804_3102779583"/>
      <w:r>
        <w:rPr>
          <w:rFonts w:eastAsia="Andale Sans UI" w:cs="Times New Roman" w:ascii="Times New Roman" w:hAnsi="Times New Roman"/>
          <w:sz w:val="21"/>
          <w:szCs w:val="21"/>
        </w:rPr>
        <w:t xml:space="preserve">Έγκριση δαπάνης και διάθεση πίστωσης ποσού για αγορά ηλεκτρολογιών υλικών από την Εταιρεία Βουτσέλης </w:t>
      </w:r>
      <w:bookmarkEnd w:id="0"/>
      <w:r>
        <w:rPr>
          <w:rFonts w:eastAsia="Andale Sans UI" w:cs="Times New Roman" w:ascii="Times New Roman" w:hAnsi="Times New Roman"/>
          <w:sz w:val="21"/>
          <w:szCs w:val="21"/>
        </w:rPr>
        <w:t>Α.Ε.</w:t>
      </w:r>
    </w:p>
    <w:p>
      <w:pPr>
        <w:pStyle w:val="Normal"/>
        <w:suppressAutoHyphens w:val="true"/>
        <w:spacing w:lineRule="exact" w:line="240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uppressAutoHyphens w:val="true"/>
        <w:spacing w:lineRule="exact" w:line="240" w:before="0" w:after="200"/>
        <w:jc w:val="both"/>
        <w:rPr>
          <w:rFonts w:eastAsia="Calibri" w:cs="Calibri"/>
        </w:rPr>
      </w:pPr>
      <w:r>
        <w:rPr>
          <w:rFonts w:eastAsia="Calibri" w:cs="Calibri"/>
        </w:rPr>
        <w:t>Έχοντας υπ’ όψιν:</w:t>
      </w:r>
    </w:p>
    <w:p>
      <w:pPr>
        <w:pStyle w:val="Normal"/>
        <w:numPr>
          <w:ilvl w:val="0"/>
          <w:numId w:val="1"/>
        </w:numPr>
        <w:spacing w:lineRule="exact" w:line="240"/>
        <w:ind w:left="780" w:hanging="360"/>
        <w:rPr/>
      </w:pPr>
      <w:r>
        <w:rPr>
          <w:rFonts w:eastAsia="Arial" w:cs="Arial" w:ascii="Arial" w:hAnsi="Arial"/>
        </w:rPr>
        <w:t>Τις διατάξεις του </w:t>
      </w:r>
      <w:hyperlink r:id="rId2">
        <w:r>
          <w:rPr>
            <w:rStyle w:val="Style14"/>
            <w:rFonts w:eastAsia="Arial" w:cs="Arial" w:ascii="Arial" w:hAnsi="Arial"/>
            <w:color w:val="0000FF"/>
          </w:rPr>
          <w:t>άρθρου 103 παρ. 2 του ν. 3852/2010</w:t>
        </w:r>
      </w:hyperlink>
      <w:r>
        <w:rPr>
          <w:rFonts w:eastAsia="Arial" w:cs="Arial" w:ascii="Arial" w:hAnsi="Arial"/>
        </w:rPr>
        <w:t> και του</w:t>
      </w:r>
      <w:hyperlink r:id="rId3">
        <w:r>
          <w:rPr>
            <w:rStyle w:val="Style14"/>
            <w:rFonts w:eastAsia="Arial" w:cs="Arial" w:ascii="Arial" w:hAnsi="Arial"/>
            <w:color w:val="0000FF"/>
          </w:rPr>
          <w:t> άρθρου 240 του Κώδικα Δήμων και Κοινοτήτων</w:t>
        </w:r>
      </w:hyperlink>
      <w:r>
        <w:rPr>
          <w:rFonts w:eastAsia="Arial" w:cs="Arial" w:ascii="Arial" w:hAnsi="Arial"/>
        </w:rPr>
        <w:t>. (</w:t>
      </w:r>
      <w:hyperlink r:id="rId4">
        <w:r>
          <w:rPr>
            <w:rStyle w:val="Style14"/>
            <w:rFonts w:eastAsia="Arial" w:cs="Arial" w:ascii="Arial" w:hAnsi="Arial"/>
            <w:color w:val="0000FF"/>
          </w:rPr>
          <w:t xml:space="preserve">παρ.1 του άρθρου 1 της απόφασης </w:t>
        </w:r>
        <w:r>
          <w:rPr>
            <w:rStyle w:val="Style14"/>
            <w:rFonts w:eastAsia="Arial" w:cs="Arial" w:ascii="Arial" w:hAnsi="Arial"/>
            <w:vanish/>
            <w:color w:val="0000FF"/>
          </w:rPr>
          <w:t>HYPERLINK "https://dimosnet.gr/blog/laws/απόφαση-υπ-εσ-αη-δ-844024-02-2011-φεκ-31825-02-2011-τεύχος-β/"</w:t>
        </w:r>
        <w:r>
          <w:rPr>
            <w:rStyle w:val="Style14"/>
            <w:rFonts w:eastAsia="Arial" w:cs="Arial" w:ascii="Arial" w:hAnsi="Arial"/>
            <w:color w:val="0000FF"/>
          </w:rPr>
          <w:t>ΥΠΕΣΑΗΔ</w:t>
        </w:r>
        <w:r>
          <w:rPr>
            <w:rStyle w:val="Style14"/>
            <w:rFonts w:eastAsia="Arial" w:cs="Arial" w:ascii="Arial" w:hAnsi="Arial"/>
            <w:vanish/>
            <w:color w:val="0000FF"/>
          </w:rPr>
          <w:t>HYPERLINK "https://dimosnet.gr/blog/laws/απόφαση-υπ-εσ-αη-δ-844024-02-2011-φεκ-31825-02-2011-τεύχος-β/"</w:t>
        </w:r>
        <w:r>
          <w:rPr>
            <w:rStyle w:val="Style14"/>
            <w:rFonts w:eastAsia="Arial" w:cs="Arial" w:ascii="Arial" w:hAnsi="Arial"/>
            <w:color w:val="0000FF"/>
          </w:rPr>
          <w:t xml:space="preserve"> 8440/24.02.2011 (ΦΕΚ 318/25.02.2011 τεύχος Β'</w:t>
        </w:r>
      </w:hyperlink>
      <w:r>
        <w:rPr>
          <w:rFonts w:eastAsia="Arial" w:cs="Arial" w:ascii="Arial" w:hAnsi="Arial"/>
        </w:rPr>
        <w:t>), όπως αντικαταστάθηκε από την </w:t>
      </w:r>
      <w:hyperlink r:id="rId5">
        <w:r>
          <w:rPr>
            <w:rStyle w:val="Style14"/>
            <w:rFonts w:eastAsia="Arial" w:cs="Arial" w:ascii="Arial" w:hAnsi="Arial"/>
            <w:color w:val="0000FF"/>
          </w:rPr>
          <w:t xml:space="preserve">παρ.1 του άρθρου 1 της απόφασης </w:t>
        </w:r>
        <w:r>
          <w:rPr>
            <w:rStyle w:val="Style14"/>
            <w:rFonts w:eastAsia="Arial" w:cs="Arial" w:ascii="Arial" w:hAnsi="Arial"/>
            <w:vanish/>
            <w:color w:val="0000FF"/>
          </w:rPr>
          <w:t>HYPERLINK "http://dimosnet.gr/blog/laws/απόφαση-υπ-εσ-194019-01-2018-φεκ-31002-02-2018-τεύχος-β/"</w:t>
        </w:r>
        <w:r>
          <w:rPr>
            <w:rStyle w:val="Style14"/>
            <w:rFonts w:eastAsia="Arial" w:cs="Arial" w:ascii="Arial" w:hAnsi="Arial"/>
            <w:color w:val="0000FF"/>
          </w:rPr>
          <w:t>ΥΠ.ΕΣ</w:t>
        </w:r>
        <w:r>
          <w:rPr>
            <w:rStyle w:val="Style14"/>
            <w:rFonts w:eastAsia="Arial" w:cs="Arial" w:ascii="Arial" w:hAnsi="Arial"/>
            <w:vanish/>
            <w:color w:val="0000FF"/>
          </w:rPr>
          <w:t>HYPERLINK "http://dimosnet.gr/blog/laws/απόφαση-υπ-εσ-194019-01-2018-φεκ-31002-02-2018-τεύχος-β/"</w:t>
        </w:r>
        <w:r>
          <w:rPr>
            <w:rStyle w:val="Style14"/>
            <w:rFonts w:eastAsia="Arial" w:cs="Arial" w:ascii="Arial" w:hAnsi="Arial"/>
            <w:color w:val="0000FF"/>
          </w:rPr>
          <w:t>. 1940/19.01.2018 (ΦΕΚ 310/02.02.2018 τεύχος Β</w:t>
        </w:r>
      </w:hyperlink>
      <w:r>
        <w:rPr>
          <w:rFonts w:eastAsia="Arial" w:cs="Arial" w:ascii="Arial" w:hAnsi="Arial"/>
        </w:rPr>
        <w:t>') και αντικαταστάθηκε εκ νέου με την περίπτωση α' του άρθρου 1 της </w:t>
      </w:r>
      <w:hyperlink r:id="rId6">
        <w:r>
          <w:rPr>
            <w:rStyle w:val="Style14"/>
            <w:rFonts w:eastAsia="Arial" w:cs="Arial" w:ascii="Arial" w:hAnsi="Arial"/>
            <w:color w:val="0000FF"/>
          </w:rPr>
          <w:t xml:space="preserve">απόφασης </w:t>
        </w:r>
        <w:r>
          <w:rPr>
            <w:rStyle w:val="Style14"/>
            <w:rFonts w:eastAsia="Arial" w:cs="Arial" w:ascii="Arial" w:hAnsi="Arial"/>
            <w:vanish/>
            <w:color w:val="0000FF"/>
          </w:rPr>
          <w:t>HYPERLINK "https://dimosnet.gr/blog/laws/294124/"</w:t>
        </w:r>
        <w:r>
          <w:rPr>
            <w:rStyle w:val="Style14"/>
            <w:rFonts w:eastAsia="Arial" w:cs="Arial" w:ascii="Arial" w:hAnsi="Arial"/>
            <w:color w:val="0000FF"/>
          </w:rPr>
          <w:t>ΥΠ.ΕΣ</w:t>
        </w:r>
        <w:r>
          <w:rPr>
            <w:rStyle w:val="Style14"/>
            <w:rFonts w:eastAsia="Arial" w:cs="Arial" w:ascii="Arial" w:hAnsi="Arial"/>
            <w:vanish/>
            <w:color w:val="0000FF"/>
          </w:rPr>
          <w:t>HYPERLINK "https://dimosnet.gr/blog/laws/294124/"</w:t>
        </w:r>
        <w:r>
          <w:rPr>
            <w:rStyle w:val="Style14"/>
            <w:rFonts w:eastAsia="Arial" w:cs="Arial" w:ascii="Arial" w:hAnsi="Arial"/>
            <w:color w:val="0000FF"/>
          </w:rPr>
          <w:t>. 63967/13.09.2019 (ΦΕΚ 3537/20.09.2019 τεύχος B’</w:t>
        </w:r>
      </w:hyperlink>
      <w:r>
        <w:rPr>
          <w:rFonts w:eastAsia="Arial" w:cs="Arial" w:ascii="Arial" w:hAnsi="Arial"/>
        </w:rPr>
        <w:t>).</w:t>
      </w:r>
    </w:p>
    <w:p>
      <w:pPr>
        <w:pStyle w:val="Normal"/>
        <w:spacing w:lineRule="exact" w:line="240"/>
        <w:ind w:left="78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0"/>
          <w:numId w:val="2"/>
        </w:numPr>
        <w:spacing w:lineRule="exact" w:line="240" w:before="0" w:after="200"/>
        <w:ind w:left="78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Το Ν. 3463/2006 (ΦΕΚ Α114/20060).</w:t>
      </w:r>
    </w:p>
    <w:p>
      <w:pPr>
        <w:pStyle w:val="Normal"/>
        <w:numPr>
          <w:ilvl w:val="0"/>
          <w:numId w:val="2"/>
        </w:numPr>
        <w:spacing w:lineRule="exact" w:line="240" w:before="0" w:after="200"/>
        <w:ind w:left="78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Τα Άρθρα 67, παρ.4 και 75, παρ. 6 του ν. 3852/2010</w:t>
      </w:r>
    </w:p>
    <w:p>
      <w:pPr>
        <w:pStyle w:val="Normal"/>
        <w:numPr>
          <w:ilvl w:val="0"/>
          <w:numId w:val="2"/>
        </w:numPr>
        <w:spacing w:lineRule="exact" w:line="240" w:before="0" w:after="200"/>
        <w:ind w:left="780" w:hanging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Αρθρο 67, παρ 7 του ν. 3852/2010</w:t>
      </w:r>
    </w:p>
    <w:p>
      <w:pPr>
        <w:pStyle w:val="Normal"/>
        <w:numPr>
          <w:ilvl w:val="0"/>
          <w:numId w:val="2"/>
        </w:numPr>
        <w:spacing w:lineRule="exact" w:line="240"/>
        <w:ind w:left="780" w:hanging="360"/>
        <w:rPr>
          <w:rFonts w:eastAsia="Calibri" w:cs="Calibri"/>
          <w:highlight w:val="white"/>
        </w:rPr>
      </w:pPr>
      <w:r>
        <w:rPr>
          <w:rFonts w:eastAsia="Arial" w:cs="Arial" w:ascii="Arial" w:hAnsi="Arial"/>
          <w:color w:val="4A474B"/>
          <w:shd w:fill="FFFFFF" w:val="clear"/>
        </w:rPr>
        <w:t>Tην υπ’ αριθμ. 13172/17-3-95 κοινή απόφαση Υπουργών Εσωτερικών και Παιδείας, την εκτέλεση έργων επισκευής και συντήρησης σχολικών κτιρίων</w:t>
      </w:r>
    </w:p>
    <w:p>
      <w:pPr>
        <w:pStyle w:val="Normal"/>
        <w:numPr>
          <w:ilvl w:val="0"/>
          <w:numId w:val="2"/>
        </w:numPr>
        <w:spacing w:lineRule="exact" w:line="240"/>
        <w:ind w:left="780" w:hanging="36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numPr>
          <w:ilvl w:val="0"/>
          <w:numId w:val="2"/>
        </w:numPr>
        <w:spacing w:lineRule="exact" w:line="240"/>
        <w:ind w:left="780" w:hanging="360"/>
        <w:rPr/>
      </w:pPr>
      <w:r>
        <w:rPr>
          <w:rFonts w:eastAsia="Arial" w:cs="Arial" w:ascii="Arial" w:hAnsi="Arial"/>
          <w:color w:val="4A474B"/>
          <w:shd w:fill="FFFFFF" w:val="clear"/>
        </w:rPr>
        <w:t>Το Ν. 4412/2016 (ΦΕΚ Α 147/08-08-2016) «Δημόσιες Συμβάσεις Έργων και Προμηθειών»</w:t>
      </w:r>
    </w:p>
    <w:p>
      <w:pPr>
        <w:pStyle w:val="Normal"/>
        <w:spacing w:lineRule="exact" w:line="240"/>
        <w:ind w:left="1140" w:hanging="0"/>
        <w:rPr>
          <w:rFonts w:ascii="Arial" w:hAnsi="Arial" w:eastAsia="Arial" w:cs="Arial"/>
          <w:color w:val="4A474B"/>
          <w:highlight w:val="white"/>
        </w:rPr>
      </w:pPr>
      <w:r>
        <w:rPr>
          <w:rFonts w:eastAsia="Arial" w:cs="Arial" w:ascii="Arial" w:hAnsi="Arial"/>
          <w:color w:val="4A474B"/>
          <w:highlight w:val="white"/>
        </w:rPr>
      </w:r>
    </w:p>
    <w:p>
      <w:pPr>
        <w:pStyle w:val="Normal"/>
        <w:numPr>
          <w:ilvl w:val="0"/>
          <w:numId w:val="2"/>
        </w:numPr>
        <w:spacing w:lineRule="exact" w:line="240"/>
        <w:ind w:left="780" w:hanging="360"/>
        <w:rPr/>
      </w:pPr>
      <w:r>
        <w:rPr>
          <w:rFonts w:eastAsia="Arial" w:cs="Arial" w:ascii="Arial" w:hAnsi="Arial"/>
        </w:rPr>
        <w:t>Την αναγκαιότητα της αγοράς για την πραγματοποίηση ηλεκτρολογικών εργασιών σε όλες τις Σχολικές Μονάδες από τον κ. Παπαδάκη Γιώργο.</w:t>
      </w:r>
    </w:p>
    <w:p>
      <w:pPr>
        <w:pStyle w:val="Normal"/>
        <w:spacing w:lineRule="exact" w:line="240"/>
        <w:ind w:left="114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exact" w:line="240"/>
        <w:ind w:left="114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exact" w:line="240" w:before="0" w:after="200"/>
        <w:jc w:val="both"/>
        <w:rPr/>
      </w:pPr>
      <w:r>
        <w:rPr>
          <w:rFonts w:eastAsia="Arial" w:cs="Arial" w:ascii="Arial" w:hAnsi="Arial"/>
        </w:rPr>
        <w:t xml:space="preserve">Εισηγούμαι θετικά στην </w:t>
      </w:r>
      <w:r>
        <w:rPr>
          <w:rFonts w:eastAsia="Andale Sans UI" w:cs="Times New Roman" w:ascii="Times New Roman" w:hAnsi="Times New Roman"/>
          <w:sz w:val="21"/>
          <w:szCs w:val="21"/>
        </w:rPr>
        <w:t>Έγκριση δαπάνης και διάθεση πίστωσης ποσού 1.166,26 και 1.297,43 για πληρωμή δύο (2) τιμολογίων (Νο2048/2182) από την Εταιρεία Βουτσέλης Α.Ε.</w:t>
      </w:r>
    </w:p>
    <w:p>
      <w:pPr>
        <w:pStyle w:val="Normal"/>
        <w:suppressAutoHyphens w:val="true"/>
        <w:spacing w:lineRule="exact" w:line="240" w:before="0" w:after="200"/>
        <w:jc w:val="center"/>
        <w:rPr>
          <w:rFonts w:eastAsia="Calibri" w:cs="Calibri"/>
          <w:b/>
          <w:b/>
        </w:rPr>
      </w:pPr>
      <w:r>
        <w:rPr>
          <w:rFonts w:eastAsia="Calibri" w:cs="Calibri"/>
          <w:b/>
        </w:rPr>
        <w:t>Η Πρόεδρος</w:t>
      </w:r>
    </w:p>
    <w:p>
      <w:pPr>
        <w:pStyle w:val="Normal"/>
        <w:suppressAutoHyphens w:val="true"/>
        <w:spacing w:lineRule="exact" w:line="240" w:before="0" w:after="200"/>
        <w:jc w:val="center"/>
        <w:rPr>
          <w:rFonts w:eastAsia="Calibri" w:cs="Calibri"/>
          <w:b/>
          <w:b/>
        </w:rPr>
      </w:pPr>
      <w:r>
        <w:rPr>
          <w:rFonts w:eastAsia="Calibri" w:cs="Calibri"/>
          <w:b/>
        </w:rPr>
        <w:t>Τόκα Αλεξάνδρα</w:t>
      </w:r>
    </w:p>
    <w:p>
      <w:pPr>
        <w:pStyle w:val="Normal"/>
        <w:tabs>
          <w:tab w:val="left" w:pos="2520" w:leader="none"/>
        </w:tabs>
        <w:suppressAutoHyphens w:val="true"/>
        <w:spacing w:lineRule="exact" w:line="240"/>
        <w:jc w:val="both"/>
        <w:rPr/>
      </w:pPr>
      <w:r>
        <w:rPr>
          <w:rFonts w:eastAsia="Calibri" w:cs="Calibri"/>
          <w:sz w:val="20"/>
          <w:u w:val="single"/>
        </w:rPr>
        <w:t>Εσωτερική Διανομή:</w:t>
      </w:r>
    </w:p>
    <w:p>
      <w:pPr>
        <w:pStyle w:val="Normal"/>
        <w:suppressAutoHyphens w:val="true"/>
        <w:spacing w:lineRule="exact" w:line="240" w:before="0" w:after="200"/>
        <w:jc w:val="center"/>
        <w:rPr>
          <w:rFonts w:eastAsia="Calibri" w:cs="Calibri"/>
          <w:b/>
          <w:b/>
        </w:rPr>
      </w:pPr>
      <w:r>
        <w:rPr>
          <w:rFonts w:eastAsia="Calibri" w:cs="Calibri"/>
          <w:sz w:val="20"/>
        </w:rPr>
        <w:t>-Αρχείο Σχολικής Επιτροπής Σχολικών Μονάδων Πρωτοβάθμιας Εκπαίδευσης Δήμου Διονύσου</w:t>
      </w:r>
    </w:p>
    <w:p>
      <w:pPr>
        <w:pStyle w:val="Normal"/>
        <w:suppressAutoHyphens w:val="true"/>
        <w:spacing w:lineRule="exact" w:line="240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a1"/>
    <w:family w:val="roman"/>
    <w:pitch w:val="variable"/>
  </w:font>
  <w:font w:name="Times New Roman Greek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Cs w:val="24"/>
        <w:lang w:val="el-G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el-G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Σύνδεσμος διαδικτύου"/>
    <w:rPr>
      <w:color w:val="000080"/>
      <w:u w:val="single"/>
    </w:rPr>
  </w:style>
  <w:style w:type="character" w:styleId="ListLabel1" w:customStyle="1">
    <w:name w:val="ListLabel 1"/>
    <w:qFormat/>
    <w:rPr>
      <w:rFonts w:cs="Symbol"/>
    </w:rPr>
  </w:style>
  <w:style w:type="character" w:styleId="ListLabel2" w:customStyle="1">
    <w:name w:val="ListLabel 2"/>
    <w:qFormat/>
    <w:rPr>
      <w:rFonts w:ascii="Calibri" w:hAnsi="Calibri" w:cs="Symbol"/>
      <w:sz w:val="22"/>
    </w:rPr>
  </w:style>
  <w:style w:type="character" w:styleId="ListLabel3" w:customStyle="1">
    <w:name w:val="ListLabel 3"/>
    <w:qFormat/>
    <w:rPr>
      <w:rFonts w:cs="Symbol"/>
    </w:rPr>
  </w:style>
  <w:style w:type="character" w:styleId="ListLabel4" w:customStyle="1">
    <w:name w:val="ListLabel 4"/>
    <w:qFormat/>
    <w:rPr>
      <w:rFonts w:ascii="Calibri" w:hAnsi="Calibri" w:cs="Symbol"/>
      <w:sz w:val="22"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rFonts w:ascii="Calibri" w:hAnsi="Calibri" w:cs="Symbol"/>
      <w:sz w:val="22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ascii="Arial" w:hAnsi="Arial" w:cs="Symbol"/>
      <w:sz w:val="22"/>
    </w:rPr>
  </w:style>
  <w:style w:type="paragraph" w:styleId="Style15" w:customStyle="1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 w:customStyle="1">
    <w:name w:val="Ευρετήριο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imosnet.gr/blog/laws/&#945;&#961;&#952;&#961;&#959;-103-&#963;&#973;&#963;&#964;&#945;&#963;&#951;-&#963;&#965;&#947;&#967;&#974;&#957;&#949;&#965;&#963;&#951;-&#957;&#959;&#956;&#953;&#954;&#974;&#957;-&#960;&#961;/" TargetMode="External"/><Relationship Id="rId3" Type="http://schemas.openxmlformats.org/officeDocument/2006/relationships/hyperlink" Target="https://dimosnet.gr/blog/laws/&#945;&#961;&#952;&#961;&#959;-240-&#948;&#953;&#959;&#943;&#954;&#951;&#963;&#951;-&#957;&#959;&#956;&#953;&#954;&#974;&#957;-&#960;&#961;&#959;&#963;&#974;&#960;&#969;&#957;-&#948;&#951;&#956;/" TargetMode="External"/><Relationship Id="rId4" Type="http://schemas.openxmlformats.org/officeDocument/2006/relationships/hyperlink" Target="https://dimosnet.gr/blog/laws/&#945;&#960;&#972;&#966;&#945;&#963;&#951;-&#965;&#960;-&#949;&#963;-&#945;&#951;-&#948;-844024-02-2011-&#966;&#949;&#954;-31825-02-2011-&#964;&#949;&#973;&#967;&#959;&#962;-&#946;/" TargetMode="External"/><Relationship Id="rId5" Type="http://schemas.openxmlformats.org/officeDocument/2006/relationships/hyperlink" Target="http://dimosnet.gr/blog/laws/&#945;&#960;&#972;&#966;&#945;&#963;&#951;-&#965;&#960;-&#949;&#963;-194019-01-2018-&#966;&#949;&#954;-31002-02-2018-&#964;&#949;&#973;&#967;&#959;&#962;-&#946;/" TargetMode="External"/><Relationship Id="rId6" Type="http://schemas.openxmlformats.org/officeDocument/2006/relationships/hyperlink" Target="https://dimosnet.gr/blog/laws/294124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LibreOffice/5.4.4.2$Windows_x86 LibreOffice_project/2524958677847fb3bb44820e40380acbe820f960</Application>
  <Pages>1</Pages>
  <Words>224</Words>
  <Characters>1297</Characters>
  <CharactersWithSpaces>1492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2023-11-03T17:49:00Z</dcterms:created>
  <dc:creator>Αλεξάνδρα Τόκα</dc:creator>
  <dc:description/>
  <dc:language>el-GR</dc:language>
  <cp:lastModifiedBy/>
  <cp:lastPrinted>2023-11-10T09:16:59Z</cp:lastPrinted>
  <dcterms:modified xsi:type="dcterms:W3CDTF">2023-11-10T09:29:15Z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