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3D" w:rsidRDefault="00740B5D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ΕΛΛΗΝΙΚΗ ΔΗΜΟΚΡΑΤΙΑ</w:t>
      </w:r>
    </w:p>
    <w:p w:rsidR="00236F3D" w:rsidRDefault="00740B5D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ΝΟΜΟΣ ΑΤΤΙΚΗΣ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ΑΡ. ΜΕΛΕΤΗΣ   10/2023</w:t>
      </w:r>
    </w:p>
    <w:p w:rsidR="00236F3D" w:rsidRDefault="00740B5D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ΔΗΜΟΣ ΔΙΟΝΥΣΟΥ</w:t>
      </w:r>
    </w:p>
    <w:p w:rsidR="00236F3D" w:rsidRDefault="00740B5D">
      <w:pPr>
        <w:pStyle w:val="Standard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ΔΙΕΥΘΥΝΣΗ ΠΕΡΙΒΑΛΛΟΝΤΟΣ,</w:t>
      </w:r>
    </w:p>
    <w:p w:rsidR="00236F3D" w:rsidRDefault="00740B5D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ΚΑΘΑΡΙΟΤΗΤΑΣ &amp; ΠΡΑΣΙΝΟΥ</w:t>
      </w: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ΜΕΛΕΤΗ ΠΡΟΜΗΘΕΙΑΣ ΟΣΤΕΟΦΥΛΑΚΙΩΝ</w:t>
      </w:r>
    </w:p>
    <w:p w:rsidR="00236F3D" w:rsidRDefault="00740B5D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&amp; ΜΕΤΑΛΛΙΚΩΝ ΚΙΒΩΤΙΔΙΩΝ</w:t>
      </w: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ΑΠΡΙΛΙΟΣ 2023</w:t>
      </w: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b/>
          <w:spacing w:val="-3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pacing w:val="-3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pacing w:val="-3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pacing w:val="-3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pacing w:val="-3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pacing w:val="-3"/>
          <w:sz w:val="20"/>
          <w:szCs w:val="20"/>
        </w:rPr>
      </w:pPr>
    </w:p>
    <w:p w:rsidR="00236F3D" w:rsidRDefault="00236F3D">
      <w:pPr>
        <w:pStyle w:val="Standard"/>
        <w:rPr>
          <w:rFonts w:ascii="Calibri" w:hAnsi="Calibri" w:cs="Calibri"/>
          <w:spacing w:val="-3"/>
          <w:sz w:val="20"/>
          <w:szCs w:val="20"/>
        </w:rPr>
      </w:pPr>
    </w:p>
    <w:p w:rsidR="00236F3D" w:rsidRDefault="00740B5D">
      <w:pPr>
        <w:pStyle w:val="Standard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lastRenderedPageBreak/>
        <w:t>ΕΛΛΗΝΙΚΗ ΔΗΜΟΚΡΑΤΙΑ</w:t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>ΠΡΟΜΗΘΕΙΑ ΟΣΤΕΟΦΥΛΑΚΙΩΝ</w:t>
      </w:r>
    </w:p>
    <w:p w:rsidR="00236F3D" w:rsidRDefault="00740B5D">
      <w:pPr>
        <w:pStyle w:val="Standard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ΝΟΜΟΣ ΑΤΤΙΚΗΣ </w:t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spacing w:val="-3"/>
          <w:sz w:val="20"/>
          <w:szCs w:val="20"/>
        </w:rPr>
        <w:t>&amp; ΜΕΤΑΛΛΙΚΩΝ ΚΙΒΩΤΙΔΙΩΝ</w:t>
      </w:r>
      <w:r>
        <w:rPr>
          <w:rFonts w:ascii="Calibri" w:hAnsi="Calibri" w:cs="Calibri"/>
          <w:spacing w:val="-3"/>
          <w:sz w:val="20"/>
          <w:szCs w:val="20"/>
        </w:rPr>
        <w:tab/>
      </w:r>
    </w:p>
    <w:p w:rsidR="00236F3D" w:rsidRDefault="00740B5D">
      <w:pPr>
        <w:pStyle w:val="Standard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ΔΗΜΟΣ ΔΙΟΝΥΣΟΥ</w:t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</w:p>
    <w:p w:rsidR="00236F3D" w:rsidRDefault="00740B5D">
      <w:pPr>
        <w:pStyle w:val="Standard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ΔΙΕΥΘΥΝΣΗ ΠΕΡΙΒΑΛΛΟΝΤΟΣ,</w:t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</w:p>
    <w:p w:rsidR="00236F3D" w:rsidRDefault="00740B5D">
      <w:pPr>
        <w:pStyle w:val="Standard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ΚΑΘΑΡΙΟΤΗΤΑΣ &amp; ΠΡΑΣΙΝΟΥ</w:t>
      </w:r>
      <w:r>
        <w:rPr>
          <w:rFonts w:ascii="Calibri" w:hAnsi="Calibri" w:cs="Calibri"/>
          <w:spacing w:val="-3"/>
          <w:sz w:val="20"/>
          <w:szCs w:val="20"/>
        </w:rPr>
        <w:tab/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pacing w:val="-3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Α. ΤΕΧΝΙΚΗ </w:t>
      </w:r>
      <w:r>
        <w:rPr>
          <w:rFonts w:ascii="Calibri" w:hAnsi="Calibri" w:cs="Calibri"/>
          <w:b/>
          <w:sz w:val="20"/>
          <w:szCs w:val="20"/>
          <w:u w:val="single"/>
        </w:rPr>
        <w:t>ΕΚΘΕΣΗ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Η παρούσα μελέτη συντάσσεται προκειμένου να γίνει προμήθεια συγκροτημάτων οστεοφυλακίων, τα οποία θα τοποθετηθούν, ανάλογα με τις ανάγκες, στα Κοιμητήρια </w:t>
      </w:r>
      <w:proofErr w:type="spellStart"/>
      <w:r>
        <w:rPr>
          <w:rFonts w:ascii="Calibri" w:hAnsi="Calibri" w:cs="Calibri"/>
          <w:sz w:val="20"/>
          <w:szCs w:val="20"/>
        </w:rPr>
        <w:t>έκαστης</w:t>
      </w:r>
      <w:proofErr w:type="spellEnd"/>
      <w:r>
        <w:rPr>
          <w:rFonts w:ascii="Calibri" w:hAnsi="Calibri" w:cs="Calibri"/>
          <w:sz w:val="20"/>
          <w:szCs w:val="20"/>
        </w:rPr>
        <w:t xml:space="preserve"> Δημοτικής Ενότητας του Δήμου Διονύσου.</w:t>
      </w: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Επίσης, θα γίνει προμήθεια προκατασκευασμένων μ</w:t>
      </w:r>
      <w:r>
        <w:rPr>
          <w:rFonts w:ascii="Calibri" w:hAnsi="Calibri" w:cs="Calibri"/>
          <w:sz w:val="20"/>
          <w:szCs w:val="20"/>
        </w:rPr>
        <w:t xml:space="preserve">εταλλικών </w:t>
      </w:r>
      <w:proofErr w:type="spellStart"/>
      <w:r>
        <w:rPr>
          <w:rFonts w:ascii="Calibri" w:hAnsi="Calibri" w:cs="Calibri"/>
          <w:sz w:val="20"/>
          <w:szCs w:val="20"/>
        </w:rPr>
        <w:t>κιβωτιδίων</w:t>
      </w:r>
      <w:proofErr w:type="spellEnd"/>
      <w:r>
        <w:rPr>
          <w:rFonts w:ascii="Calibri" w:hAnsi="Calibri" w:cs="Calibri"/>
          <w:sz w:val="20"/>
          <w:szCs w:val="20"/>
        </w:rPr>
        <w:t xml:space="preserve"> (οστεοθηκών) για την κάλυψη των αναγκών των Κοιμητηρίων </w:t>
      </w:r>
      <w:proofErr w:type="spellStart"/>
      <w:r>
        <w:rPr>
          <w:rFonts w:ascii="Calibri" w:hAnsi="Calibri" w:cs="Calibri"/>
          <w:sz w:val="20"/>
          <w:szCs w:val="20"/>
        </w:rPr>
        <w:t>έκαστης</w:t>
      </w:r>
      <w:proofErr w:type="spellEnd"/>
      <w:r>
        <w:rPr>
          <w:rFonts w:ascii="Calibri" w:hAnsi="Calibri" w:cs="Calibri"/>
          <w:sz w:val="20"/>
          <w:szCs w:val="20"/>
        </w:rPr>
        <w:t xml:space="preserve"> Δημοτικής Ενότητας του Δήμου Διονύσου (Αγίου Στεφάνου, Κρυονερίου, Δροσιάς, Ανοίξεως, Διονύσου, Σταμάτας, Ροδόπολης).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Η εν λόγω προμήθεια θα διενεργηθεί σύμφωνα με τις δι</w:t>
      </w:r>
      <w:r>
        <w:rPr>
          <w:rFonts w:ascii="Calibri" w:hAnsi="Calibri" w:cs="Calibri"/>
          <w:spacing w:val="-3"/>
          <w:sz w:val="20"/>
          <w:szCs w:val="20"/>
        </w:rPr>
        <w:t xml:space="preserve">ατάξεις: </w:t>
      </w:r>
    </w:p>
    <w:p w:rsidR="00236F3D" w:rsidRDefault="00740B5D">
      <w:pPr>
        <w:numPr>
          <w:ilvl w:val="0"/>
          <w:numId w:val="4"/>
        </w:numPr>
        <w:tabs>
          <w:tab w:val="left" w:pos="-720"/>
          <w:tab w:val="left" w:pos="-360"/>
        </w:tabs>
        <w:jc w:val="both"/>
      </w:pPr>
      <w:r>
        <w:rPr>
          <w:rFonts w:ascii="Calibri" w:hAnsi="Calibri" w:cs="Calibri"/>
          <w:spacing w:val="-3"/>
          <w:sz w:val="20"/>
          <w:szCs w:val="20"/>
        </w:rPr>
        <w:t>του Ν. 3463/2006 «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Κύρωση του Κώδικα Δήμων &amp; Κοινοτήτων</w:t>
      </w:r>
      <w:r>
        <w:rPr>
          <w:rFonts w:ascii="Calibri" w:hAnsi="Calibri" w:cs="Calibri"/>
          <w:spacing w:val="-3"/>
          <w:sz w:val="20"/>
          <w:szCs w:val="20"/>
        </w:rPr>
        <w:t xml:space="preserve">», Φ.Ε.Κ. 114/Α’/8.6.2006, </w:t>
      </w:r>
    </w:p>
    <w:p w:rsidR="00236F3D" w:rsidRDefault="00740B5D">
      <w:pPr>
        <w:numPr>
          <w:ilvl w:val="0"/>
          <w:numId w:val="4"/>
        </w:numPr>
        <w:tabs>
          <w:tab w:val="left" w:pos="-720"/>
          <w:tab w:val="left" w:pos="-360"/>
        </w:tabs>
        <w:jc w:val="both"/>
      </w:pPr>
      <w:r>
        <w:rPr>
          <w:rFonts w:ascii="Calibri" w:hAnsi="Calibri" w:cs="Calibri"/>
          <w:spacing w:val="-3"/>
          <w:kern w:val="0"/>
          <w:sz w:val="20"/>
          <w:szCs w:val="20"/>
        </w:rPr>
        <w:t>Ν. 3852/2010 (ΦΕΚ 87 Α) «Νέα Αρχιτεκτονική της Αυτοδιοίκησης και της Αποκεντρωμένης Διοίκησης – Πρόγραμμα Καλλικράτης», όπως ισχύει σήμερα,</w:t>
      </w:r>
    </w:p>
    <w:p w:rsidR="00236F3D" w:rsidRDefault="00740B5D">
      <w:pPr>
        <w:numPr>
          <w:ilvl w:val="0"/>
          <w:numId w:val="4"/>
        </w:numPr>
        <w:tabs>
          <w:tab w:val="left" w:pos="-720"/>
          <w:tab w:val="left" w:pos="-360"/>
        </w:tabs>
        <w:jc w:val="both"/>
      </w:pPr>
      <w:r>
        <w:rPr>
          <w:rFonts w:ascii="Calibri" w:hAnsi="Calibri" w:cs="Calibri"/>
          <w:spacing w:val="-3"/>
          <w:sz w:val="20"/>
          <w:szCs w:val="20"/>
        </w:rPr>
        <w:t xml:space="preserve">Ν. 4555/2018 </w:t>
      </w:r>
      <w:r>
        <w:rPr>
          <w:rFonts w:ascii="Calibri" w:hAnsi="Calibri" w:cs="Calibri"/>
          <w:sz w:val="20"/>
          <w:szCs w:val="20"/>
        </w:rPr>
        <w:t>«</w:t>
      </w:r>
      <w:r>
        <w:rPr>
          <w:rFonts w:ascii="Calibri" w:hAnsi="Calibri" w:cs="Calibri"/>
          <w:i/>
          <w:iCs/>
          <w:sz w:val="20"/>
          <w:szCs w:val="20"/>
        </w:rPr>
        <w:t>Μεταρρύθμιση του Θεσμικού Πλαισίου της Τοπικής Αυτοδιοίκησης – Εμβάθυνση της Δημοκρατίας – Ενίσχυση της Συμμετοχής – Βελτίωση της Οικονομικής και Αναπτυξιακής Λειτουργίας των ΟΤΑ [Πρόγραμμα «ΚΛΕΙΣΘΕΝΗΣ»] – Ρυθμίσεις για τον Εκσυγχρονισμό του Πλαισίου Οργάν</w:t>
      </w:r>
      <w:r>
        <w:rPr>
          <w:rFonts w:ascii="Calibri" w:hAnsi="Calibri" w:cs="Calibri"/>
          <w:i/>
          <w:iCs/>
          <w:sz w:val="20"/>
          <w:szCs w:val="20"/>
        </w:rPr>
        <w:t>ωσης και Λειτουργίας των ΦΟΔΣΑ – Ρυθμίσεις για την αποτελεσματικότερη, ταχύτερη και ενιαία Άσκηση των Αρμοδιοτήτων σχετικά με την Απονομή Ιθαγένειας και την Πολιτογράφηση – Λοιπές Διατάξεις αρμοδιότητας Υπουργείου Εσωτερικών και άλλες Διατάξεις</w:t>
      </w:r>
      <w:r>
        <w:rPr>
          <w:rFonts w:ascii="Calibri" w:hAnsi="Calibri" w:cs="Calibri"/>
          <w:sz w:val="20"/>
          <w:szCs w:val="20"/>
        </w:rPr>
        <w:t>» (ΦΕΚ Α’ 13</w:t>
      </w:r>
      <w:r>
        <w:rPr>
          <w:rFonts w:ascii="Calibri" w:hAnsi="Calibri" w:cs="Calibri"/>
          <w:sz w:val="20"/>
          <w:szCs w:val="20"/>
        </w:rPr>
        <w:t xml:space="preserve">3/19.7.2018), </w:t>
      </w:r>
      <w:r>
        <w:rPr>
          <w:rFonts w:ascii="Calibri" w:hAnsi="Calibri" w:cs="Calibri"/>
          <w:spacing w:val="-3"/>
          <w:sz w:val="20"/>
          <w:szCs w:val="20"/>
        </w:rPr>
        <w:t>άρθρο 203 «</w:t>
      </w:r>
      <w:proofErr w:type="spellStart"/>
      <w:r>
        <w:rPr>
          <w:rFonts w:ascii="Calibri" w:hAnsi="Calibri" w:cs="Calibri"/>
          <w:i/>
          <w:iCs/>
          <w:spacing w:val="-3"/>
          <w:sz w:val="20"/>
          <w:szCs w:val="20"/>
        </w:rPr>
        <w:t>Διατάκτης</w:t>
      </w:r>
      <w:proofErr w:type="spellEnd"/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στους ΟΤΑ α’ βαθμού</w:t>
      </w:r>
      <w:r>
        <w:rPr>
          <w:rFonts w:ascii="Calibri" w:hAnsi="Calibri" w:cs="Calibri"/>
          <w:spacing w:val="-3"/>
          <w:sz w:val="20"/>
          <w:szCs w:val="20"/>
        </w:rPr>
        <w:t>», και</w:t>
      </w:r>
    </w:p>
    <w:p w:rsidR="00236F3D" w:rsidRDefault="00740B5D">
      <w:pPr>
        <w:numPr>
          <w:ilvl w:val="0"/>
          <w:numId w:val="4"/>
        </w:numPr>
        <w:tabs>
          <w:tab w:val="left" w:pos="-720"/>
          <w:tab w:val="left" w:pos="-360"/>
        </w:tabs>
        <w:jc w:val="both"/>
      </w:pPr>
      <w:r>
        <w:rPr>
          <w:rFonts w:ascii="Calibri" w:hAnsi="Calibri" w:cs="Calibri"/>
          <w:spacing w:val="-3"/>
          <w:sz w:val="20"/>
          <w:szCs w:val="20"/>
        </w:rPr>
        <w:t>Ν. 4412/2016 “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Δημόσιες Συμβάσεις Έργων, Προμηθειών και Υπηρεσιών (προσαρμογή στις Οδηγίες 2014/24/ΕΕ και 2014/25/ΕΕ)»</w:t>
      </w:r>
      <w:r>
        <w:rPr>
          <w:rFonts w:ascii="Calibri" w:hAnsi="Calibri" w:cs="Calibri"/>
          <w:spacing w:val="-3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 xml:space="preserve">όπως τροποποιήθηκε και ισχύει με τον Ν. 4782/2021 (ΦΕΚ 36Α’/9.3.2021)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«Εκσυγ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υγεία»,</w:t>
      </w:r>
      <w:r>
        <w:rPr>
          <w:rFonts w:ascii="Calibri" w:hAnsi="Calibri" w:cs="Calibri"/>
          <w:color w:val="000000"/>
          <w:sz w:val="20"/>
          <w:szCs w:val="20"/>
        </w:rPr>
        <w:t xml:space="preserve"> στην πλέον συμφέρουσα από οι</w:t>
      </w:r>
      <w:r>
        <w:rPr>
          <w:rFonts w:ascii="Calibri" w:hAnsi="Calibri" w:cs="Calibri"/>
          <w:color w:val="000000"/>
          <w:sz w:val="20"/>
          <w:szCs w:val="20"/>
        </w:rPr>
        <w:t xml:space="preserve">κονομική άποψη προσφορά, μόνο με βάση τη τιμή (άρθρο 86 Ν. 4412/2016). </w:t>
      </w:r>
    </w:p>
    <w:p w:rsidR="00236F3D" w:rsidRDefault="00236F3D">
      <w:pPr>
        <w:pStyle w:val="Standarduser"/>
        <w:tabs>
          <w:tab w:val="left" w:pos="3600"/>
        </w:tabs>
        <w:jc w:val="both"/>
        <w:rPr>
          <w:rFonts w:ascii="Calibri" w:hAnsi="Calibri" w:cs="Calibri"/>
          <w:spacing w:val="-3"/>
          <w:sz w:val="20"/>
          <w:szCs w:val="20"/>
        </w:rPr>
      </w:pPr>
    </w:p>
    <w:p w:rsidR="00236F3D" w:rsidRDefault="00740B5D">
      <w:pPr>
        <w:pStyle w:val="LO-Normal"/>
        <w:tabs>
          <w:tab w:val="left" w:pos="3600"/>
        </w:tabs>
        <w:jc w:val="both"/>
      </w:pPr>
      <w:r>
        <w:rPr>
          <w:rFonts w:ascii="Calibri" w:hAnsi="Calibri" w:cs="Calibri"/>
          <w:spacing w:val="-3"/>
          <w:sz w:val="20"/>
          <w:szCs w:val="20"/>
        </w:rPr>
        <w:t xml:space="preserve">Ο ενδεικτικός προϋπολογισμός της παρούσας ανέρχεται σε </w:t>
      </w:r>
      <w:r>
        <w:rPr>
          <w:rFonts w:ascii="Calibri" w:eastAsia="Times New Roman" w:hAnsi="Calibri" w:cs="Calibri"/>
          <w:spacing w:val="-3"/>
          <w:sz w:val="20"/>
          <w:szCs w:val="20"/>
          <w:u w:val="single"/>
          <w:lang w:eastAsia="el-GR"/>
        </w:rPr>
        <w:t>36.704,00</w:t>
      </w:r>
      <w:r>
        <w:rPr>
          <w:rFonts w:ascii="Calibri" w:hAnsi="Calibri" w:cs="Calibri"/>
          <w:spacing w:val="-3"/>
          <w:sz w:val="20"/>
          <w:szCs w:val="20"/>
          <w:u w:val="single"/>
        </w:rPr>
        <w:t>€</w:t>
      </w:r>
      <w:r>
        <w:rPr>
          <w:rFonts w:ascii="Calibri" w:hAnsi="Calibri" w:cs="Calibri"/>
          <w:spacing w:val="-3"/>
          <w:sz w:val="20"/>
          <w:szCs w:val="20"/>
        </w:rPr>
        <w:t xml:space="preserve"> συμπεριλαμβανομένου ΦΠΑ 24%.</w:t>
      </w:r>
    </w:p>
    <w:p w:rsidR="00236F3D" w:rsidRDefault="00236F3D">
      <w:pPr>
        <w:pStyle w:val="LO-Normal"/>
        <w:tabs>
          <w:tab w:val="left" w:pos="3600"/>
        </w:tabs>
        <w:jc w:val="both"/>
        <w:rPr>
          <w:rFonts w:ascii="Calibri" w:hAnsi="Calibri" w:cs="Calibri"/>
          <w:spacing w:val="-3"/>
          <w:sz w:val="20"/>
          <w:szCs w:val="20"/>
        </w:rPr>
      </w:pPr>
    </w:p>
    <w:p w:rsidR="00236F3D" w:rsidRDefault="00740B5D">
      <w:pPr>
        <w:pStyle w:val="Standarduser"/>
        <w:tabs>
          <w:tab w:val="left" w:pos="3600"/>
        </w:tabs>
        <w:jc w:val="both"/>
      </w:pPr>
      <w:r>
        <w:rPr>
          <w:rFonts w:ascii="Calibri" w:hAnsi="Calibri" w:cs="Calibri"/>
          <w:spacing w:val="-3"/>
          <w:sz w:val="20"/>
          <w:szCs w:val="20"/>
        </w:rPr>
        <w:t xml:space="preserve">Το </w:t>
      </w:r>
      <w:r>
        <w:rPr>
          <w:rFonts w:ascii="Calibri" w:hAnsi="Calibri" w:cs="Calibri"/>
          <w:spacing w:val="-3"/>
          <w:sz w:val="20"/>
          <w:szCs w:val="20"/>
          <w:lang w:val="en-US"/>
        </w:rPr>
        <w:t>CPV</w:t>
      </w:r>
      <w:r>
        <w:rPr>
          <w:rFonts w:ascii="Calibri" w:hAnsi="Calibri" w:cs="Calibri"/>
          <w:spacing w:val="-3"/>
          <w:sz w:val="20"/>
          <w:szCs w:val="20"/>
        </w:rPr>
        <w:t xml:space="preserve"> των προς προμήθεια ειδών είναι 44618400-9 με τίτλο «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Μεταλλικό Δοχείο</w:t>
      </w:r>
      <w:r>
        <w:rPr>
          <w:rFonts w:ascii="Calibri" w:hAnsi="Calibri" w:cs="Calibri"/>
          <w:i/>
          <w:spacing w:val="-3"/>
          <w:sz w:val="20"/>
          <w:szCs w:val="20"/>
        </w:rPr>
        <w:t>»</w:t>
      </w:r>
      <w:r>
        <w:rPr>
          <w:rFonts w:ascii="Calibri" w:hAnsi="Calibri" w:cs="Calibri"/>
          <w:spacing w:val="-3"/>
          <w:sz w:val="20"/>
          <w:szCs w:val="20"/>
        </w:rPr>
        <w:t xml:space="preserve"> και </w:t>
      </w:r>
      <w:r>
        <w:rPr>
          <w:rFonts w:ascii="Calibri" w:hAnsi="Calibri" w:cs="Calibri"/>
          <w:spacing w:val="-3"/>
          <w:sz w:val="20"/>
          <w:szCs w:val="20"/>
        </w:rPr>
        <w:t>39151100-6 «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Συστήματα Ραφιών</w:t>
      </w:r>
      <w:r>
        <w:rPr>
          <w:rFonts w:ascii="Calibri" w:hAnsi="Calibri" w:cs="Calibri"/>
          <w:i/>
          <w:spacing w:val="-3"/>
          <w:sz w:val="20"/>
          <w:szCs w:val="20"/>
        </w:rPr>
        <w:t>»</w:t>
      </w:r>
      <w:r>
        <w:rPr>
          <w:rFonts w:ascii="Calibri" w:hAnsi="Calibri" w:cs="Calibri"/>
          <w:spacing w:val="-3"/>
          <w:sz w:val="20"/>
          <w:szCs w:val="20"/>
        </w:rPr>
        <w:t>.</w:t>
      </w:r>
    </w:p>
    <w:p w:rsidR="00236F3D" w:rsidRDefault="00236F3D">
      <w:pPr>
        <w:pStyle w:val="LO-Normal"/>
        <w:tabs>
          <w:tab w:val="left" w:pos="3600"/>
        </w:tabs>
        <w:jc w:val="both"/>
        <w:rPr>
          <w:rFonts w:ascii="Calibri" w:hAnsi="Calibri" w:cs="Calibri"/>
          <w:spacing w:val="-3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Β. ΤΕΧΝΙΚΗ ΠΕΡΙΓΡΑΦΗ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ΠΡΟΜΗΘΕΙΑ ΟΣΤΕΟΦΥΛΑΚΙΩΝ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Έκαστο συγκρότημα οστεοφυλακίων θα είναι ορθογώνιο, πενταόροφο, τριών κατακόρυφων στηλών με 15 θυρίδες (</w:t>
      </w:r>
      <w:proofErr w:type="spellStart"/>
      <w:r>
        <w:rPr>
          <w:rFonts w:ascii="Calibri" w:hAnsi="Calibri" w:cs="Calibri"/>
          <w:sz w:val="20"/>
          <w:szCs w:val="20"/>
        </w:rPr>
        <w:t>οστεοθυρίδες</w:t>
      </w:r>
      <w:proofErr w:type="spellEnd"/>
      <w:r>
        <w:rPr>
          <w:rFonts w:ascii="Calibri" w:hAnsi="Calibri" w:cs="Calibri"/>
          <w:sz w:val="20"/>
          <w:szCs w:val="20"/>
        </w:rPr>
        <w:t>) ενδεικτικών διαστάσεων Μ200εκ Χ Β45εκ Χ Υ180εκ, χωρίς τη</w:t>
      </w:r>
      <w:r>
        <w:rPr>
          <w:rFonts w:ascii="Calibri" w:hAnsi="Calibri" w:cs="Calibri"/>
          <w:sz w:val="20"/>
          <w:szCs w:val="20"/>
        </w:rPr>
        <w:t xml:space="preserve"> βάση και τη </w:t>
      </w:r>
      <w:proofErr w:type="spellStart"/>
      <w:r>
        <w:rPr>
          <w:rFonts w:ascii="Calibri" w:hAnsi="Calibri" w:cs="Calibri"/>
          <w:sz w:val="20"/>
          <w:szCs w:val="20"/>
        </w:rPr>
        <w:t>μετώπη</w:t>
      </w:r>
      <w:proofErr w:type="spellEnd"/>
      <w:r>
        <w:rPr>
          <w:rFonts w:ascii="Calibri" w:hAnsi="Calibri" w:cs="Calibri"/>
          <w:sz w:val="20"/>
          <w:szCs w:val="20"/>
        </w:rPr>
        <w:t xml:space="preserve">, προκατασκευασμένο από οπλισμένο σκυρόδεμα, με λευκό τσιμέντο, που θα εξασφαλίζει τη στατική του επάρκεια και ασφάλεια και με κατάλληλο </w:t>
      </w:r>
      <w:proofErr w:type="spellStart"/>
      <w:r>
        <w:rPr>
          <w:rFonts w:ascii="Calibri" w:hAnsi="Calibri" w:cs="Calibri"/>
          <w:sz w:val="20"/>
          <w:szCs w:val="20"/>
        </w:rPr>
        <w:t>στεγανωτικό</w:t>
      </w:r>
      <w:proofErr w:type="spellEnd"/>
      <w:r>
        <w:rPr>
          <w:rFonts w:ascii="Calibri" w:hAnsi="Calibri" w:cs="Calibri"/>
          <w:sz w:val="20"/>
          <w:szCs w:val="20"/>
        </w:rPr>
        <w:t xml:space="preserve"> υλικό που θα το καθιστά </w:t>
      </w:r>
      <w:proofErr w:type="spellStart"/>
      <w:r>
        <w:rPr>
          <w:rFonts w:ascii="Calibri" w:hAnsi="Calibri" w:cs="Calibri"/>
          <w:sz w:val="20"/>
          <w:szCs w:val="20"/>
        </w:rPr>
        <w:t>υδατοσταγές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Θα έχει ενιαία βάση από τσιμέντο.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Το κάθε οστεοφυλ</w:t>
      </w:r>
      <w:r>
        <w:rPr>
          <w:rFonts w:ascii="Calibri" w:hAnsi="Calibri" w:cs="Calibri"/>
          <w:sz w:val="20"/>
          <w:szCs w:val="20"/>
        </w:rPr>
        <w:t>άκιο θα αποτελείται από τρεις (3) στήλες, με κάθε στήλη να περιλαμβάνει πέντε (5) θυρίδες, ενδεικτικών διαστάσεων Μ57 εκ Χ Β35εκ Χ Υ25εκ, στην οποία θα τοποθετείται μεταλλικό κουτί διαστάσεων Μ52 εκ Χ Β33εκ Χ Υ23εκ.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Κάθε θυρίδα θα κλείνει με πόρτα από λευ</w:t>
      </w:r>
      <w:r>
        <w:rPr>
          <w:rFonts w:ascii="Calibri" w:hAnsi="Calibri" w:cs="Calibri"/>
          <w:sz w:val="20"/>
          <w:szCs w:val="20"/>
        </w:rPr>
        <w:t>κό μάρμαρο (καθαρό Α’ ποιότητας), ενδεικτικών διαστάσεων Μ60εκ Χ Υ30εκ Χ Β2εκ με τρόπο που να εξασφαλίζει το ερμητικό κλείσιμό της και η οποία θα ασφαλίζει με κλειδαριά ασφαλείας (πάνω στο μάρμαρο) με δύο κλειδιά σε απόχρωση χρυσαφί ή μαύρο. Η πόρτα θα φέρ</w:t>
      </w:r>
      <w:r>
        <w:rPr>
          <w:rFonts w:ascii="Calibri" w:hAnsi="Calibri" w:cs="Calibri"/>
          <w:sz w:val="20"/>
          <w:szCs w:val="20"/>
        </w:rPr>
        <w:t>ει επίσης βιδωμένο κατάλληλο ορειχάλκινο χερούλι (κρίκο) για το χειρισμό της, χρώματος χρυσαφί ή μαύρο.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Στην κορυφή κάθε συγκροτήματος θα υπάρχει τριγωνική στέγη ενδεικτικών διαστάσεων Μ145 εκ Χ Υ35 εκ Χ Β38 εκ με πρόσοψη από μάρμαρο που θα φέρει μπρούτζι</w:t>
      </w:r>
      <w:r>
        <w:rPr>
          <w:rFonts w:ascii="Calibri" w:hAnsi="Calibri" w:cs="Calibri"/>
          <w:sz w:val="20"/>
          <w:szCs w:val="20"/>
        </w:rPr>
        <w:t>νο σταυρό ενδεικτικών διαστάσεων Υ25εκ Χ Π13 εκ.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 ανάδοχος θα πρέπει να διαθέτει σε ισχύ πιστοποιητικό διασφάλισης ποιότητας ISO 9001:2015 για τις συγκεκριμένες κατασκευές.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Τα συγκροτήματα οστεοφυλακίων θα είναι άριστης ποιότητας και θα παραδοθούν, </w:t>
      </w:r>
      <w:r>
        <w:rPr>
          <w:rFonts w:ascii="Calibri" w:hAnsi="Calibri" w:cs="Calibri"/>
          <w:sz w:val="20"/>
          <w:szCs w:val="20"/>
        </w:rPr>
        <w:t>καινούργια και αμεταχείριστα, στα νεκροταφεία των Δημοτικών Ενοτήτων του Δήμου Διονύσου.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Η Υπηρεσία έχει το δικαίωμα να προβεί σε αλλαγή των θέσεων τοποθέτησης των </w:t>
      </w:r>
      <w:proofErr w:type="spellStart"/>
      <w:r>
        <w:rPr>
          <w:rFonts w:ascii="Calibri" w:hAnsi="Calibri" w:cs="Calibri"/>
          <w:sz w:val="20"/>
          <w:szCs w:val="20"/>
        </w:rPr>
        <w:t>οστεοθυρίδων</w:t>
      </w:r>
      <w:proofErr w:type="spellEnd"/>
      <w:r>
        <w:rPr>
          <w:rFonts w:ascii="Calibri" w:hAnsi="Calibri" w:cs="Calibri"/>
          <w:sz w:val="20"/>
          <w:szCs w:val="20"/>
        </w:rPr>
        <w:t xml:space="preserve"> στα δημοτικά κοιμητήρια, αν το κρίνει αναγκαίο, χωρίς την τροποποίηση της ποσό</w:t>
      </w:r>
      <w:r>
        <w:rPr>
          <w:rFonts w:ascii="Calibri" w:hAnsi="Calibri" w:cs="Calibri"/>
          <w:sz w:val="20"/>
          <w:szCs w:val="20"/>
        </w:rPr>
        <w:t xml:space="preserve">τητας των </w:t>
      </w:r>
      <w:proofErr w:type="spellStart"/>
      <w:r>
        <w:rPr>
          <w:rFonts w:ascii="Calibri" w:hAnsi="Calibri" w:cs="Calibri"/>
          <w:sz w:val="20"/>
          <w:szCs w:val="20"/>
        </w:rPr>
        <w:t>οστεοθυρίδων</w:t>
      </w:r>
      <w:proofErr w:type="spellEnd"/>
      <w:r>
        <w:rPr>
          <w:rFonts w:ascii="Calibri" w:hAnsi="Calibri" w:cs="Calibri"/>
          <w:sz w:val="20"/>
          <w:szCs w:val="20"/>
        </w:rPr>
        <w:t xml:space="preserve"> και του προϋπολογισμού της μελέτης. Επίσης, ανάλογα με τις ανάγκες, θα τοποθετηθούν με ευθύνη του αναδόχου επί κατάλληλης βάσης σε θέσεις που θα υποδειχθούν από την Υπηρεσία.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Τα νέα οστεοφυλάκια θα είναι παρόμοια αυτών που ήδη υφίστ</w:t>
      </w:r>
      <w:r>
        <w:rPr>
          <w:rFonts w:ascii="Calibri" w:hAnsi="Calibri" w:cs="Calibri"/>
          <w:sz w:val="20"/>
          <w:szCs w:val="20"/>
        </w:rPr>
        <w:t>ανται στους χώρους των Κοιμητηρίων προκειμένου να υπάρχει οπτική συνέχεια στην κατασκευή.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Textbody"/>
        <w:tabs>
          <w:tab w:val="left" w:pos="3600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Στην τιμή περιλαμβάνονται επίσης η μεταφορά, τοποθέτηση των </w:t>
      </w:r>
      <w:proofErr w:type="spellStart"/>
      <w:r>
        <w:rPr>
          <w:rFonts w:ascii="Calibri" w:hAnsi="Calibri" w:cs="Calibri"/>
          <w:sz w:val="20"/>
          <w:szCs w:val="20"/>
        </w:rPr>
        <w:t>οστεοθυρίδων</w:t>
      </w:r>
      <w:proofErr w:type="spellEnd"/>
      <w:r>
        <w:rPr>
          <w:rFonts w:ascii="Calibri" w:hAnsi="Calibri" w:cs="Calibri"/>
          <w:sz w:val="20"/>
          <w:szCs w:val="20"/>
        </w:rPr>
        <w:t xml:space="preserve"> και η κατασκευή τσιμεντένιας  βάσης που θα στερεωθούν τα συγκροτήματα.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ΠΡΟΚΑΤΑΣΚΕΥΑΣΜΕΝΑ</w:t>
      </w:r>
      <w:r>
        <w:rPr>
          <w:rFonts w:ascii="Calibri" w:hAnsi="Calibri" w:cs="Calibri"/>
          <w:b/>
          <w:sz w:val="20"/>
          <w:szCs w:val="20"/>
        </w:rPr>
        <w:t xml:space="preserve"> ΜΕΤΑΛΛΙΚΑ ΚΙΒΩΤΙΔΙΑ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</w:pPr>
      <w:r>
        <w:rPr>
          <w:rFonts w:ascii="Calibri" w:hAnsi="Calibri" w:cs="Calibri"/>
          <w:sz w:val="20"/>
          <w:szCs w:val="20"/>
        </w:rPr>
        <w:t xml:space="preserve">Το μεταλλικό </w:t>
      </w:r>
      <w:proofErr w:type="spellStart"/>
      <w:r>
        <w:rPr>
          <w:rFonts w:ascii="Calibri" w:hAnsi="Calibri" w:cs="Calibri"/>
          <w:sz w:val="20"/>
          <w:szCs w:val="20"/>
        </w:rPr>
        <w:t>κιβωτίδιο</w:t>
      </w:r>
      <w:proofErr w:type="spellEnd"/>
      <w:r>
        <w:rPr>
          <w:rFonts w:ascii="Calibri" w:hAnsi="Calibri" w:cs="Calibri"/>
          <w:sz w:val="20"/>
          <w:szCs w:val="20"/>
        </w:rPr>
        <w:t xml:space="preserve"> (οστεοθήκη) θα πρέπει να έχει τις εξής διαστάσεις (±0,5</w:t>
      </w:r>
      <w:r>
        <w:rPr>
          <w:rFonts w:ascii="Calibri" w:hAnsi="Calibri" w:cs="Calibri"/>
          <w:sz w:val="20"/>
          <w:szCs w:val="20"/>
          <w:lang w:val="en-US"/>
        </w:rPr>
        <w:t>cm</w:t>
      </w:r>
      <w:r>
        <w:rPr>
          <w:rFonts w:ascii="Calibri" w:hAnsi="Calibri" w:cs="Calibri"/>
          <w:sz w:val="20"/>
          <w:szCs w:val="20"/>
        </w:rPr>
        <w:t>):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Ύψος: 22 εκατοστά, πλάτος 24,5 εκατοστά και μήκος 50 εκατοστά.  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</w:pPr>
      <w:r>
        <w:rPr>
          <w:rFonts w:ascii="Calibri" w:hAnsi="Calibri" w:cs="Calibri"/>
          <w:sz w:val="20"/>
          <w:szCs w:val="20"/>
        </w:rPr>
        <w:t xml:space="preserve">Θα είναι </w:t>
      </w:r>
      <w:proofErr w:type="spellStart"/>
      <w:r>
        <w:rPr>
          <w:rFonts w:ascii="Calibri" w:hAnsi="Calibri" w:cs="Calibri"/>
          <w:sz w:val="20"/>
          <w:szCs w:val="20"/>
        </w:rPr>
        <w:t>γαλβανιζέ</w:t>
      </w:r>
      <w:proofErr w:type="spellEnd"/>
      <w:r>
        <w:rPr>
          <w:rFonts w:ascii="Calibri" w:hAnsi="Calibri" w:cs="Calibri"/>
          <w:sz w:val="20"/>
          <w:szCs w:val="20"/>
        </w:rPr>
        <w:t xml:space="preserve"> ή </w:t>
      </w:r>
      <w:r>
        <w:rPr>
          <w:rFonts w:ascii="Calibri" w:hAnsi="Calibri" w:cs="Calibri"/>
          <w:sz w:val="20"/>
          <w:szCs w:val="20"/>
          <w:lang w:val="en-US"/>
        </w:rPr>
        <w:t>INOX</w:t>
      </w:r>
      <w:r>
        <w:rPr>
          <w:rFonts w:ascii="Calibri" w:hAnsi="Calibri" w:cs="Calibri"/>
          <w:sz w:val="20"/>
          <w:szCs w:val="20"/>
        </w:rPr>
        <w:t>, ανθεκτικές στη σκουριά και άθραυστες.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Θα αποτελούνται απ</w:t>
      </w:r>
      <w:r>
        <w:rPr>
          <w:rFonts w:ascii="Calibri" w:hAnsi="Calibri" w:cs="Calibri"/>
          <w:sz w:val="20"/>
          <w:szCs w:val="20"/>
        </w:rPr>
        <w:t>ό το κυρίως σώμα και το καπάκι και θα φέρουν κλειδαριά με δύο κλειδιά.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Γ. ΕΝΔΕΙΚΤΙΚΟΣ ΠΡΟΥΠΟΛΟΓΙΣΜΟΣ</w:t>
      </w:r>
    </w:p>
    <w:p w:rsidR="00236F3D" w:rsidRDefault="00236F3D">
      <w:pPr>
        <w:jc w:val="both"/>
        <w:rPr>
          <w:rFonts w:ascii="Calibri" w:hAnsi="Calibri"/>
          <w:sz w:val="20"/>
          <w:szCs w:val="20"/>
        </w:rPr>
      </w:pPr>
    </w:p>
    <w:p w:rsidR="00236F3D" w:rsidRDefault="00740B5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Οι ποσότητες </w:t>
      </w:r>
      <w:proofErr w:type="spellStart"/>
      <w:r>
        <w:rPr>
          <w:rFonts w:ascii="Calibri" w:hAnsi="Calibri"/>
          <w:sz w:val="20"/>
          <w:szCs w:val="20"/>
        </w:rPr>
        <w:t>έκαστου</w:t>
      </w:r>
      <w:proofErr w:type="spellEnd"/>
      <w:r>
        <w:rPr>
          <w:rFonts w:ascii="Calibri" w:hAnsi="Calibri"/>
          <w:sz w:val="20"/>
          <w:szCs w:val="20"/>
        </w:rPr>
        <w:t xml:space="preserve"> είδους του Ενδεικτικού Προϋπολογισμού της παρούσας δύναται να αυξομειώνονται μεταξύ τους χωρίς όμως υπέρβαση του συνολικού ποσού τη</w:t>
      </w:r>
      <w:r>
        <w:rPr>
          <w:rFonts w:ascii="Calibri" w:hAnsi="Calibri"/>
          <w:sz w:val="20"/>
          <w:szCs w:val="20"/>
        </w:rPr>
        <w:t xml:space="preserve">ς παρούσας. </w:t>
      </w:r>
    </w:p>
    <w:p w:rsidR="00236F3D" w:rsidRDefault="00236F3D">
      <w:pPr>
        <w:pStyle w:val="Standard"/>
        <w:tabs>
          <w:tab w:val="left" w:pos="3600"/>
        </w:tabs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8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2314"/>
        <w:gridCol w:w="1282"/>
        <w:gridCol w:w="1617"/>
        <w:gridCol w:w="2187"/>
      </w:tblGrid>
      <w:tr w:rsidR="00236F3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Είδος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Μονάδος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ΣΥΝΟΛΟ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ΟΜΑΔΑ 1</w:t>
            </w:r>
          </w:p>
        </w:tc>
        <w:tc>
          <w:tcPr>
            <w:tcW w:w="12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14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Οστεοφυλάκιο</w:t>
            </w:r>
          </w:p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θυρίδων</w:t>
            </w:r>
          </w:p>
        </w:tc>
        <w:tc>
          <w:tcPr>
            <w:tcW w:w="12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17.600,00 €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ΦΠΑ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4.224,00 €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909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Σύνολο 1 με ΦΠΑ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21.824,00 €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71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color w:val="B2B2B2"/>
                <w:sz w:val="20"/>
                <w:szCs w:val="20"/>
                <w:shd w:val="clear" w:color="auto" w:fill="999999"/>
              </w:rPr>
            </w:pP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ΟΜΑΔΑ 2</w:t>
            </w:r>
          </w:p>
        </w:tc>
        <w:tc>
          <w:tcPr>
            <w:tcW w:w="12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14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Μεταλλικό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Κιβωτίδιο</w:t>
            </w:r>
            <w:proofErr w:type="spellEnd"/>
          </w:p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500x245x220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2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12.000,00 €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ΦΠΑ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2.880,00 €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4909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Σύνολο 2 με ΦΠΑ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14.880,00 €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71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909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ΣΥΝΟΛΟ 1-2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29.600,00 €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909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ΦΠΑ 24%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7.104,00 €</w:t>
            </w:r>
          </w:p>
        </w:tc>
      </w:tr>
      <w:tr w:rsidR="00236F3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909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236F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21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F3D" w:rsidRDefault="00740B5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36.704,00 €</w:t>
            </w:r>
          </w:p>
        </w:tc>
      </w:tr>
    </w:tbl>
    <w:p w:rsidR="00236F3D" w:rsidRDefault="00236F3D">
      <w:pPr>
        <w:pStyle w:val="Standard"/>
        <w:tabs>
          <w:tab w:val="left" w:pos="3600"/>
        </w:tabs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Ολογράφως: Τριάντα έξι χιλιάδες επτακόσια τέσσερα ευρώ, συμπεριλαμβανομένου του ΦΠΑ 24%.</w:t>
      </w:r>
    </w:p>
    <w:p w:rsidR="00236F3D" w:rsidRDefault="00236F3D">
      <w:pPr>
        <w:pStyle w:val="Standard"/>
        <w:tabs>
          <w:tab w:val="left" w:pos="3600"/>
        </w:tabs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tabs>
          <w:tab w:val="left" w:pos="3600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36F3D" w:rsidRDefault="00740B5D">
      <w:pPr>
        <w:pStyle w:val="Standard"/>
        <w:tabs>
          <w:tab w:val="left" w:pos="3600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Δ. ΕΙΔΙΚΗ ΣΥΓΓΡΑΦΗ ΥΠΟΧΡΕΩΣΕΩΝ</w:t>
      </w:r>
    </w:p>
    <w:p w:rsidR="00236F3D" w:rsidRDefault="00236F3D">
      <w:pPr>
        <w:pStyle w:val="Standard"/>
        <w:tabs>
          <w:tab w:val="left" w:pos="-720"/>
        </w:tabs>
        <w:jc w:val="center"/>
        <w:rPr>
          <w:rFonts w:ascii="Calibri" w:hAnsi="Calibri" w:cs="Calibri"/>
          <w:sz w:val="20"/>
          <w:szCs w:val="20"/>
          <w:u w:val="single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Οι </w:t>
      </w:r>
      <w:r>
        <w:rPr>
          <w:rFonts w:ascii="Calibri" w:hAnsi="Calibri" w:cs="Calibri"/>
          <w:sz w:val="20"/>
          <w:szCs w:val="20"/>
        </w:rPr>
        <w:t>ενδιαφερόμενοι μπορούν να υποβάλουν προσφορά για το σύνολο του ενδεικτικού προϋπολογισμού ή μεμονωμένα για την κάθε Ομάδα (1) ή (2).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Έκαστος ενδιαφερόμενος πρέπει να καταθέσει:</w:t>
      </w:r>
    </w:p>
    <w:p w:rsidR="00236F3D" w:rsidRDefault="00236F3D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πιστοποιητικό Επιμελητηρίου ή άλλη σχετική βεβαίωση π.χ. έναρξη επαγγέλματος,</w:t>
      </w:r>
      <w:r>
        <w:rPr>
          <w:rFonts w:ascii="Calibri" w:hAnsi="Calibri" w:cs="Calibri"/>
          <w:sz w:val="20"/>
          <w:szCs w:val="20"/>
        </w:rPr>
        <w:t xml:space="preserve"> από το οποίο να προκύπτει ότι ασκεί επάγγελμα συναφές με το αντικείμενο της παρούσας προμήθειας,</w:t>
      </w:r>
    </w:p>
    <w:p w:rsidR="00236F3D" w:rsidRDefault="00740B5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υπεύθυνη δήλωση ότι έλαβε γνώση των όρων της παρούσας και τους αποδέχεται,</w:t>
      </w:r>
    </w:p>
    <w:p w:rsidR="00236F3D" w:rsidRDefault="00740B5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δύο (2) τουλάχιστον βεβαιώσεις καλής εκτέλεσης συναφών προμηθειών κατά τα τελευταία</w:t>
      </w:r>
      <w:r>
        <w:rPr>
          <w:rFonts w:ascii="Calibri" w:hAnsi="Calibri" w:cs="Calibri"/>
          <w:sz w:val="20"/>
          <w:szCs w:val="20"/>
        </w:rPr>
        <w:t xml:space="preserve"> δύο (2) έτη, και</w:t>
      </w:r>
    </w:p>
    <w:p w:rsidR="00236F3D" w:rsidRDefault="00740B5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πιστοποιητικό διασφάλισης ποιότητας ISO 9001:2015 εν ισχύ για τις συγκεκριμένες κατασκευές.</w:t>
      </w:r>
    </w:p>
    <w:p w:rsidR="00236F3D" w:rsidRDefault="00236F3D">
      <w:pPr>
        <w:pStyle w:val="Standard"/>
        <w:ind w:left="360"/>
        <w:jc w:val="both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Τα υλικά θα παραδοθούν στο σύνολό τους ή τμηματικά, ανάλογα με τις ανάγκες του Δήμου και τις εντολές της αρμόδιας Υπηρεσίας στα σημεία που θα υπ</w:t>
      </w:r>
      <w:r>
        <w:rPr>
          <w:rFonts w:ascii="Calibri" w:hAnsi="Calibri" w:cs="Calibri"/>
          <w:sz w:val="20"/>
          <w:szCs w:val="20"/>
        </w:rPr>
        <w:t>οδειχθούν.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 Δήμος δύναται να ζητά τμηματική παράδοση των υλικών (μετά από σχετική εντολή της Υπηρεσίας).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</w:pPr>
      <w:r>
        <w:rPr>
          <w:rFonts w:ascii="Calibri" w:hAnsi="Calibri" w:cs="Calibri"/>
          <w:sz w:val="20"/>
          <w:szCs w:val="20"/>
        </w:rPr>
        <w:t xml:space="preserve">Η διάρκεια ισχύος της σύμβασης ορίζεται σε ένα (1) έτος ή </w:t>
      </w:r>
      <w:r>
        <w:rPr>
          <w:rFonts w:ascii="Calibri" w:hAnsi="Calibri" w:cs="Calibri"/>
          <w:spacing w:val="-3"/>
          <w:sz w:val="20"/>
        </w:rPr>
        <w:t>μέχρι εξαντλήσεως του συμβατικού ποσού.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 Δήμος διατηρεί το δικαίωμα να μην εξαντλήσει το</w:t>
      </w:r>
      <w:r>
        <w:rPr>
          <w:rFonts w:ascii="Calibri" w:hAnsi="Calibri" w:cs="Calibri"/>
          <w:sz w:val="20"/>
          <w:szCs w:val="20"/>
        </w:rPr>
        <w:t xml:space="preserve"> ποσό και τις ποσότητες των ειδών προς προμήθεια, ανάλογα με τις ανάγκες του.</w:t>
      </w:r>
    </w:p>
    <w:p w:rsidR="00236F3D" w:rsidRDefault="00236F3D">
      <w:pPr>
        <w:tabs>
          <w:tab w:val="left" w:pos="360"/>
        </w:tabs>
        <w:ind w:left="27"/>
        <w:jc w:val="both"/>
        <w:rPr>
          <w:rFonts w:ascii="Calibri" w:hAnsi="Calibri"/>
          <w:spacing w:val="-3"/>
          <w:sz w:val="22"/>
          <w:szCs w:val="22"/>
        </w:rPr>
      </w:pPr>
    </w:p>
    <w:p w:rsidR="00236F3D" w:rsidRDefault="00740B5D">
      <w:pPr>
        <w:tabs>
          <w:tab w:val="left" w:pos="360"/>
        </w:tabs>
        <w:ind w:left="27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Ο Δήμος μπορεί να αυξομειώσει τις ενδεικτικές ποσότητες του κάθε είδους του ενδεικτικού προϋπολογισμού, ανάλογα με τις ανάγκες του, χωρίς υπέρβαση του συμβατικού αντικειμένου.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Τα υλικά πρέπει να είναι άριστης ποιότητας, καινούργια και σύμφωνα με τους όρους της Τεχνικής Περιγραφής και τις ισχύουσες Ελληνικές και Ευρωπαϊκές Προδιαγραφές όπως αυτές αναφέρονται στην παρούσα Τεχνική Έκθεση.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Εάν κατά την παραλαβή διαπιστωθούν αποκλίσ</w:t>
      </w:r>
      <w:r>
        <w:rPr>
          <w:rFonts w:ascii="Calibri" w:hAnsi="Calibri" w:cs="Calibri"/>
          <w:sz w:val="20"/>
          <w:szCs w:val="20"/>
        </w:rPr>
        <w:t>εις ο Δήμος έχει το δικαίωμα να μην δεχθεί να παραλάβει ή να ζητήσει βελτιώσεις.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Προτεινόμενες λύσεις που παρουσιάζουν αποκλίσεις ή υστέρηση σε σχέση με τις τεχνικές προδιαγραφές ή προσφορές με ασαφή ή ελλιπή τεχνικά στοιχεία απορρίπτονται.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κάθε ατύχ</w:t>
      </w:r>
      <w:r>
        <w:rPr>
          <w:rFonts w:ascii="Calibri" w:hAnsi="Calibri" w:cs="Calibri"/>
          <w:sz w:val="20"/>
          <w:szCs w:val="20"/>
        </w:rPr>
        <w:t>ημα στο προσωπικό του αναδόχου ή σε τρίτους ή οποιαδήποτε ζημιά που προκαλείται από τον ανάδοχο βαρύνει αποκλειστικά τον ίδιο.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Τα απαιτούμενα για την μεταφορά μεταφορικά μέσα και το απαιτούμενο εργατοτεχνικό προσωπικό για την τοποθέτηση των οστεοφυλακίων </w:t>
      </w:r>
      <w:r>
        <w:rPr>
          <w:rFonts w:ascii="Calibri" w:hAnsi="Calibri" w:cs="Calibri"/>
          <w:sz w:val="20"/>
          <w:szCs w:val="20"/>
        </w:rPr>
        <w:t>στα σημεία που θα υποδειχθούν βαρύνουν αποκλειστικά τον ανάδοχο.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 ανάδοχος εγγυάται την ανυπαρξία οποιουδήποτε κρυμμένου ελαττώματος.</w:t>
      </w: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236F3D">
      <w:pPr>
        <w:pStyle w:val="Standard"/>
        <w:tabs>
          <w:tab w:val="left" w:pos="3600"/>
        </w:tabs>
        <w:jc w:val="both"/>
        <w:rPr>
          <w:rFonts w:ascii="Calibri" w:hAnsi="Calibri" w:cs="Calibri"/>
          <w:sz w:val="20"/>
          <w:szCs w:val="20"/>
        </w:rPr>
      </w:pPr>
    </w:p>
    <w:p w:rsidR="00236F3D" w:rsidRDefault="00740B5D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Η </w:t>
      </w:r>
      <w:proofErr w:type="spellStart"/>
      <w:r>
        <w:rPr>
          <w:rFonts w:ascii="Calibri" w:hAnsi="Calibri" w:cs="Calibri"/>
          <w:bCs/>
          <w:sz w:val="20"/>
          <w:szCs w:val="20"/>
        </w:rPr>
        <w:t>Συντάξασα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Θεωρήθηκε</w:t>
      </w:r>
    </w:p>
    <w:p w:rsidR="00236F3D" w:rsidRDefault="00236F3D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</w:p>
    <w:p w:rsidR="00236F3D" w:rsidRDefault="00236F3D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</w:p>
    <w:p w:rsidR="00236F3D" w:rsidRDefault="00740B5D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Ε. Ντος </w:t>
      </w:r>
      <w:proofErr w:type="spellStart"/>
      <w:r>
        <w:rPr>
          <w:rFonts w:ascii="Calibri" w:hAnsi="Calibri" w:cs="Calibri"/>
          <w:bCs/>
          <w:sz w:val="20"/>
          <w:szCs w:val="20"/>
        </w:rPr>
        <w:t>Πάσσος</w:t>
      </w:r>
      <w:proofErr w:type="spellEnd"/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Παπαδόπουλος Απόστολος</w:t>
      </w:r>
      <w:r>
        <w:rPr>
          <w:rFonts w:ascii="Calibri" w:hAnsi="Calibri" w:cs="Calibri"/>
          <w:bCs/>
          <w:sz w:val="20"/>
          <w:szCs w:val="20"/>
        </w:rPr>
        <w:tab/>
      </w:r>
    </w:p>
    <w:p w:rsidR="00236F3D" w:rsidRDefault="00740B5D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ΤΕ Μηχανικών</w:t>
      </w:r>
      <w:r>
        <w:rPr>
          <w:rFonts w:ascii="Calibri" w:hAnsi="Calibri" w:cs="Calibri"/>
          <w:bCs/>
          <w:sz w:val="20"/>
          <w:szCs w:val="20"/>
        </w:rPr>
        <w:tab/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Μηχανολόγος </w:t>
      </w:r>
      <w:r>
        <w:rPr>
          <w:rFonts w:ascii="Calibri" w:hAnsi="Calibri" w:cs="Calibri"/>
          <w:bCs/>
          <w:sz w:val="20"/>
          <w:szCs w:val="20"/>
        </w:rPr>
        <w:t>Μηχανικός ΠΕ5</w:t>
      </w:r>
    </w:p>
    <w:p w:rsidR="00236F3D" w:rsidRDefault="00740B5D">
      <w:pPr>
        <w:pStyle w:val="Standard"/>
        <w:tabs>
          <w:tab w:val="left" w:pos="-720"/>
        </w:tabs>
        <w:jc w:val="both"/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Προϊστάμενος Δ/</w:t>
      </w:r>
      <w:proofErr w:type="spellStart"/>
      <w:r>
        <w:rPr>
          <w:rFonts w:ascii="Calibri" w:hAnsi="Calibri" w:cs="Calibri"/>
          <w:bCs/>
          <w:sz w:val="20"/>
          <w:szCs w:val="20"/>
        </w:rPr>
        <w:t>νσης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Περιβάλλοντος</w:t>
      </w:r>
    </w:p>
    <w:sectPr w:rsidR="00236F3D">
      <w:footerReference w:type="default" r:id="rId7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0B5D">
      <w:r>
        <w:separator/>
      </w:r>
    </w:p>
  </w:endnote>
  <w:endnote w:type="continuationSeparator" w:id="0">
    <w:p w:rsidR="00000000" w:rsidRDefault="007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BA" w:rsidRDefault="00740B5D">
    <w:pPr>
      <w:pStyle w:val="a9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:rsidR="00687EBA" w:rsidRDefault="00740B5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0B5D">
      <w:r>
        <w:rPr>
          <w:color w:val="000000"/>
        </w:rPr>
        <w:separator/>
      </w:r>
    </w:p>
  </w:footnote>
  <w:footnote w:type="continuationSeparator" w:id="0">
    <w:p w:rsidR="00000000" w:rsidRDefault="0074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236"/>
    <w:multiLevelType w:val="multilevel"/>
    <w:tmpl w:val="BBBCAD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sz w:val="22"/>
      </w:rPr>
    </w:lvl>
  </w:abstractNum>
  <w:abstractNum w:abstractNumId="1" w15:restartNumberingAfterBreak="0">
    <w:nsid w:val="3A2A2212"/>
    <w:multiLevelType w:val="multilevel"/>
    <w:tmpl w:val="9140B4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A5832FD"/>
    <w:multiLevelType w:val="multilevel"/>
    <w:tmpl w:val="AEE63EF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BA655A"/>
    <w:multiLevelType w:val="multilevel"/>
    <w:tmpl w:val="1A38262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6F3D"/>
    <w:rsid w:val="00236F3D"/>
    <w:rsid w:val="00740B5D"/>
    <w:rsid w:val="007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D0BA"/>
  <w15:docId w15:val="{03540483-79C0-4897-BCFF-CC1D0DB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Century" w:eastAsia="Century" w:hAnsi="Century" w:cs="Century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6">
    <w:name w:val="Subtitle"/>
    <w:basedOn w:val="Standard"/>
    <w:next w:val="Textbody"/>
    <w:uiPriority w:val="11"/>
    <w:qFormat/>
    <w:rPr>
      <w:b/>
      <w:bCs/>
      <w:szCs w:val="20"/>
    </w:rPr>
  </w:style>
  <w:style w:type="paragraph" w:customStyle="1" w:styleId="Textbodyindent">
    <w:name w:val="Text body indent"/>
    <w:basedOn w:val="Standard"/>
    <w:pPr>
      <w:widowControl w:val="0"/>
      <w:autoSpaceDE w:val="0"/>
      <w:ind w:hanging="360"/>
      <w:jc w:val="both"/>
    </w:pPr>
    <w:rPr>
      <w:rFonts w:ascii="Bookman Old Style" w:eastAsia="Bookman Old Style" w:hAnsi="Bookman Old Style" w:cs="Bookman Old Style"/>
      <w:sz w:val="22"/>
    </w:rPr>
  </w:style>
  <w:style w:type="paragraph" w:customStyle="1" w:styleId="a7">
    <w:name w:val="Στυλ"/>
    <w:pPr>
      <w:suppressAutoHyphens/>
      <w:autoSpaceDE w:val="0"/>
    </w:pPr>
    <w:rPr>
      <w:rFonts w:ascii="Arial" w:eastAsia="Times New Roman" w:hAnsi="Arial"/>
      <w:lang w:bidi="ar-SA"/>
    </w:rPr>
  </w:style>
  <w:style w:type="paragraph" w:customStyle="1" w:styleId="21">
    <w:name w:val="Σώμα κείμενου 21"/>
    <w:basedOn w:val="Standard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Σώμα κείμενου 31"/>
    <w:basedOn w:val="Standard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LO-Normal1">
    <w:name w:val="LO-Normal1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Mangal"/>
    </w:rPr>
  </w:style>
  <w:style w:type="paragraph" w:customStyle="1" w:styleId="LO-Normal">
    <w:name w:val="LO-Normal"/>
    <w:pPr>
      <w:widowControl/>
      <w:suppressAutoHyphens/>
      <w:autoSpaceDE w:val="0"/>
    </w:pPr>
    <w:rPr>
      <w:rFonts w:ascii="Arial" w:eastAsia="SimSun, 宋体" w:hAnsi="Arial"/>
      <w:color w:val="000000"/>
      <w:lang w:bidi="ar-SA"/>
    </w:rPr>
  </w:style>
  <w:style w:type="paragraph" w:styleId="a9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0">
    <w:name w:val="WW8Num2z0"/>
    <w:rPr>
      <w:rFonts w:ascii="Courier New" w:eastAsia="Courier New" w:hAnsi="Courier New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10">
    <w:name w:val="Προεπιλεγμένη γραμματοσειρά1"/>
  </w:style>
  <w:style w:type="character" w:customStyle="1" w:styleId="CharChar4">
    <w:name w:val="Char Char4"/>
    <w:basedOn w:val="10"/>
    <w:rPr>
      <w:rFonts w:ascii="Century" w:eastAsia="Century" w:hAnsi="Century" w:cs="Century"/>
      <w:b/>
      <w:bCs/>
      <w:sz w:val="28"/>
      <w:szCs w:val="24"/>
      <w:lang w:val="el-GR" w:bidi="ar-SA"/>
    </w:rPr>
  </w:style>
  <w:style w:type="character" w:customStyle="1" w:styleId="CharChar3">
    <w:name w:val="Char Char3"/>
    <w:basedOn w:val="10"/>
    <w:rPr>
      <w:b/>
      <w:bCs/>
      <w:sz w:val="24"/>
      <w:lang w:val="el-GR" w:bidi="ar-SA"/>
    </w:rPr>
  </w:style>
  <w:style w:type="character" w:customStyle="1" w:styleId="CharChar2">
    <w:name w:val="Char Char2"/>
    <w:basedOn w:val="10"/>
    <w:rPr>
      <w:rFonts w:ascii="Bookman Old Style" w:eastAsia="Bookman Old Style" w:hAnsi="Bookman Old Style" w:cs="Bookman Old Style"/>
      <w:sz w:val="22"/>
      <w:szCs w:val="24"/>
      <w:lang w:val="el-GR" w:bidi="ar-SA"/>
    </w:rPr>
  </w:style>
  <w:style w:type="character" w:customStyle="1" w:styleId="CharChar5">
    <w:name w:val="Char Char5"/>
    <w:basedOn w:val="10"/>
    <w:rPr>
      <w:rFonts w:ascii="Cambria" w:eastAsia="Cambria" w:hAnsi="Cambria" w:cs="Cambria"/>
      <w:b/>
      <w:bCs/>
      <w:kern w:val="3"/>
      <w:sz w:val="32"/>
      <w:szCs w:val="32"/>
      <w:lang w:val="el-GR" w:bidi="ar-SA"/>
    </w:rPr>
  </w:style>
  <w:style w:type="character" w:customStyle="1" w:styleId="CharChar1">
    <w:name w:val="Char Char1"/>
    <w:basedOn w:val="10"/>
    <w:rPr>
      <w:rFonts w:ascii="Calibri" w:eastAsia="Calibri" w:hAnsi="Calibri" w:cs="Calibri"/>
      <w:sz w:val="22"/>
      <w:szCs w:val="22"/>
      <w:lang w:val="el-GR" w:bidi="ar-SA"/>
    </w:rPr>
  </w:style>
  <w:style w:type="character" w:customStyle="1" w:styleId="CharChar">
    <w:name w:val="Char Char"/>
    <w:basedOn w:val="10"/>
    <w:rPr>
      <w:rFonts w:ascii="Calibri" w:eastAsia="Calibri" w:hAnsi="Calibri" w:cs="Calibri"/>
      <w:sz w:val="16"/>
      <w:szCs w:val="16"/>
      <w:lang w:val="el-GR" w:bidi="ar-SA"/>
    </w:rPr>
  </w:style>
  <w:style w:type="character" w:styleId="aa">
    <w:name w:val="page number"/>
    <w:basedOn w:val="a0"/>
  </w:style>
  <w:style w:type="character" w:customStyle="1" w:styleId="Char">
    <w:name w:val="Υποσέλιδο Char"/>
    <w:basedOn w:val="a0"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Agios Stefanos</dc:creator>
  <cp:lastModifiedBy>Ιωάννης Ραμπαούνης</cp:lastModifiedBy>
  <cp:revision>3</cp:revision>
  <cp:lastPrinted>2023-04-28T07:06:00Z</cp:lastPrinted>
  <dcterms:created xsi:type="dcterms:W3CDTF">2023-04-28T07:27:00Z</dcterms:created>
  <dcterms:modified xsi:type="dcterms:W3CDTF">2023-04-28T07:27:00Z</dcterms:modified>
</cp:coreProperties>
</file>