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2C" w:rsidRDefault="00ED6F2C" w:rsidP="00ED6F2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5495038"/>
      <w:r>
        <w:rPr>
          <w:lang w:val="el-GR"/>
        </w:rPr>
        <w:t>ΠΑΡΑΡΤΗΜΑ V – Υπόδειγμα Οικονομικής Προσφοράς</w:t>
      </w:r>
      <w:bookmarkEnd w:id="0"/>
    </w:p>
    <w:p w:rsidR="00ED6F2C" w:rsidRDefault="00ED6F2C" w:rsidP="00ED6F2C">
      <w:pPr>
        <w:spacing w:after="0"/>
        <w:jc w:val="center"/>
        <w:rPr>
          <w:sz w:val="28"/>
          <w:szCs w:val="32"/>
        </w:rPr>
      </w:pPr>
    </w:p>
    <w:p w:rsidR="00ED6F2C" w:rsidRPr="00B50ABA" w:rsidRDefault="00ED6F2C" w:rsidP="00ED6F2C">
      <w:pPr>
        <w:spacing w:after="0"/>
        <w:jc w:val="center"/>
        <w:rPr>
          <w:sz w:val="28"/>
          <w:szCs w:val="32"/>
        </w:rPr>
      </w:pPr>
      <w:r w:rsidRPr="00B50ABA">
        <w:rPr>
          <w:sz w:val="28"/>
          <w:szCs w:val="32"/>
        </w:rPr>
        <w:t>ΑΝΟΙΚΤΟΥ ΗΛΕΚΤΡΟΝΙΚΟΥ ΔΙΑΓΩΝΙΣΜΟΥ ΜΕΣΩ ΤΟΥ ΕΘΝΙΚΟΥ ΣΥΣΤΗΜΑΤΟΣ</w:t>
      </w:r>
    </w:p>
    <w:p w:rsidR="00ED6F2C" w:rsidRPr="00B50ABA" w:rsidRDefault="00ED6F2C" w:rsidP="00ED6F2C">
      <w:pPr>
        <w:spacing w:after="0"/>
        <w:jc w:val="center"/>
        <w:rPr>
          <w:sz w:val="28"/>
          <w:szCs w:val="32"/>
        </w:rPr>
      </w:pPr>
      <w:r w:rsidRPr="00B50ABA">
        <w:rPr>
          <w:sz w:val="28"/>
          <w:szCs w:val="32"/>
        </w:rPr>
        <w:t>ΗΛΕΚΤΡΟΝΙΚΩΝ ΔΗΜΟΣΙΩΝ ΣΥΜΒΑΣΕΩΝ (Ε.Σ.Η.ΔΗ.Σ.)ΜΕ ΚΡΙΤΗΡΙΟ ΑΝΑΘΕΣΗΣ ΤΗΝ ΠΛΕΟΝ ΣΥΜΦΕΡΟΥΣΑ ΑΠΟ ΟΙΚΟΝΟΜΙΚΗ ΑΠΟΨΗ ΜΕ ΒΑΣΗ ΤΗΒΕΛΤΙΣΤΗ ΣΧΕΣΗ ΠΟΙΟΤΗΤΑΣ-ΤΙΜΗΣΓΙΑ ΤΗΝ:</w:t>
      </w:r>
    </w:p>
    <w:p w:rsidR="00ED6F2C" w:rsidRDefault="00ED6F2C" w:rsidP="00ED6F2C">
      <w:pPr>
        <w:jc w:val="center"/>
        <w:rPr>
          <w:sz w:val="28"/>
          <w:szCs w:val="32"/>
          <w:highlight w:val="yellow"/>
        </w:rPr>
      </w:pPr>
    </w:p>
    <w:p w:rsidR="00ED6F2C" w:rsidRDefault="00ED6F2C" w:rsidP="00ED6F2C">
      <w:pPr>
        <w:jc w:val="center"/>
        <w:rPr>
          <w:sz w:val="28"/>
          <w:szCs w:val="32"/>
        </w:rPr>
      </w:pPr>
      <w:r w:rsidRPr="00503E6B">
        <w:rPr>
          <w:sz w:val="28"/>
          <w:szCs w:val="32"/>
        </w:rPr>
        <w:t xml:space="preserve">«Ανάπτυξη Δικτύου Χωριστής Συλλογής </w:t>
      </w:r>
      <w:proofErr w:type="spellStart"/>
      <w:r w:rsidRPr="00503E6B">
        <w:rPr>
          <w:sz w:val="28"/>
          <w:szCs w:val="32"/>
        </w:rPr>
        <w:t>Βιοαποβλήτων</w:t>
      </w:r>
      <w:proofErr w:type="spellEnd"/>
      <w:r w:rsidRPr="00503E6B">
        <w:rPr>
          <w:sz w:val="28"/>
          <w:szCs w:val="32"/>
        </w:rPr>
        <w:t xml:space="preserve"> Δήμου Διονύσου </w:t>
      </w:r>
      <w:r>
        <w:rPr>
          <w:sz w:val="28"/>
          <w:szCs w:val="32"/>
        </w:rPr>
        <w:t>–</w:t>
      </w:r>
    </w:p>
    <w:p w:rsidR="00ED6F2C" w:rsidRPr="00503E6B" w:rsidRDefault="00ED6F2C" w:rsidP="00ED6F2C">
      <w:pPr>
        <w:jc w:val="center"/>
        <w:rPr>
          <w:sz w:val="28"/>
          <w:szCs w:val="32"/>
        </w:rPr>
      </w:pPr>
      <w:r w:rsidRPr="00503E6B">
        <w:rPr>
          <w:sz w:val="28"/>
          <w:szCs w:val="32"/>
        </w:rPr>
        <w:t>ΥΠΟΕΡΓΟ</w:t>
      </w:r>
      <w:r>
        <w:rPr>
          <w:sz w:val="28"/>
          <w:szCs w:val="32"/>
        </w:rPr>
        <w:t>1:«</w:t>
      </w:r>
      <w:r w:rsidRPr="002823E0">
        <w:rPr>
          <w:sz w:val="28"/>
          <w:szCs w:val="32"/>
        </w:rPr>
        <w:t xml:space="preserve">Προμήθεια εξοπλισμού (καφέ </w:t>
      </w:r>
      <w:proofErr w:type="spellStart"/>
      <w:r w:rsidRPr="002823E0">
        <w:rPr>
          <w:sz w:val="28"/>
          <w:szCs w:val="32"/>
        </w:rPr>
        <w:t>κάδων–σάκων</w:t>
      </w:r>
      <w:proofErr w:type="spellEnd"/>
      <w:r w:rsidRPr="002823E0">
        <w:rPr>
          <w:sz w:val="28"/>
          <w:szCs w:val="32"/>
        </w:rPr>
        <w:t xml:space="preserve">) απορριμμάτων για τη συλλογή </w:t>
      </w:r>
      <w:proofErr w:type="spellStart"/>
      <w:r w:rsidRPr="002823E0">
        <w:rPr>
          <w:sz w:val="28"/>
          <w:szCs w:val="32"/>
        </w:rPr>
        <w:t>βιοαποβλήτων</w:t>
      </w:r>
      <w:proofErr w:type="spellEnd"/>
      <w:r w:rsidRPr="00503E6B">
        <w:rPr>
          <w:sz w:val="28"/>
          <w:szCs w:val="32"/>
        </w:rPr>
        <w:t>»</w:t>
      </w:r>
    </w:p>
    <w:p w:rsidR="00ED6F2C" w:rsidRPr="009F286D" w:rsidRDefault="00ED6F2C" w:rsidP="00ED6F2C">
      <w:pPr>
        <w:jc w:val="center"/>
        <w:rPr>
          <w:sz w:val="24"/>
          <w:szCs w:val="28"/>
          <w:highlight w:val="yellow"/>
        </w:rPr>
      </w:pPr>
    </w:p>
    <w:p w:rsidR="00ED6F2C" w:rsidRPr="005E67FC" w:rsidRDefault="00ED6F2C" w:rsidP="00ED6F2C">
      <w:pPr>
        <w:jc w:val="center"/>
        <w:rPr>
          <w:sz w:val="24"/>
          <w:szCs w:val="28"/>
        </w:rPr>
      </w:pPr>
      <w:r w:rsidRPr="005E67FC">
        <w:rPr>
          <w:sz w:val="24"/>
          <w:szCs w:val="28"/>
        </w:rPr>
        <w:t xml:space="preserve">Εκτιμώμενης αξίας: </w:t>
      </w:r>
      <w:r w:rsidRPr="00F27CEF">
        <w:rPr>
          <w:sz w:val="24"/>
          <w:szCs w:val="28"/>
        </w:rPr>
        <w:t>162.010,00</w:t>
      </w:r>
      <w:r w:rsidRPr="005E67FC">
        <w:rPr>
          <w:sz w:val="24"/>
          <w:szCs w:val="28"/>
        </w:rPr>
        <w:t>Ευρώ πλέον ΦΠΑ</w:t>
      </w:r>
    </w:p>
    <w:p w:rsidR="00ED6F2C" w:rsidRDefault="00ED6F2C" w:rsidP="00ED6F2C">
      <w:pPr>
        <w:rPr>
          <w:rFonts w:cs="Tahoma"/>
          <w:spacing w:val="-3"/>
        </w:rPr>
      </w:pPr>
    </w:p>
    <w:p w:rsidR="00ED6F2C" w:rsidRPr="00517865" w:rsidRDefault="00ED6F2C" w:rsidP="00ED6F2C">
      <w:pPr>
        <w:rPr>
          <w:rFonts w:cs="Tahoma"/>
          <w:spacing w:val="-3"/>
        </w:rPr>
      </w:pPr>
    </w:p>
    <w:p w:rsidR="00ED6F2C" w:rsidRPr="00412131" w:rsidRDefault="00ED6F2C" w:rsidP="00ED6F2C">
      <w:r w:rsidRPr="00412131">
        <w:rPr>
          <w:rFonts w:cs="Tahoma"/>
          <w:spacing w:val="-3"/>
        </w:rPr>
        <w:t>Ολογράφως: Διακόσιες Χιλιάδες Οχτακόσια Ενενήντα Δύο  Ευρώ και Σαράντα Λεπτά συμπεριλαμβανομένου του ΦΠΑ.</w:t>
      </w:r>
    </w:p>
    <w:p w:rsidR="00ED6F2C" w:rsidRDefault="00ED6F2C" w:rsidP="00ED6F2C">
      <w:pPr>
        <w:pStyle w:val="normalwithoutspacing"/>
      </w:pPr>
    </w:p>
    <w:p w:rsidR="00ED6F2C" w:rsidRDefault="00ED6F2C" w:rsidP="00ED6F2C">
      <w:pPr>
        <w:rPr>
          <w:rFonts w:cs="Arial"/>
        </w:rPr>
      </w:pPr>
      <w:r w:rsidRPr="00DA0775">
        <w:t xml:space="preserve">Ο υπογραφόμενος …………………. με έδρα ……………………… Δ/νση …………………….. </w:t>
      </w:r>
      <w:proofErr w:type="spellStart"/>
      <w:r w:rsidRPr="00DA0775">
        <w:t>τηλ</w:t>
      </w:r>
      <w:proofErr w:type="spellEnd"/>
      <w:r w:rsidRPr="00DA0775">
        <w:t xml:space="preserve">. …………………..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BB6AC2">
        <w:t xml:space="preserve">……………..αφού έλαβα πλήρη γνώση των όρων της διακήρυξης και των σχετικών εγγράφων Παρατημάτων αυτής, τους οποίους αποδέχομαι ανεπιφύλακτα, που αφορούν στην ηλεκτρονική ανοικτή διαδικασία σύναψης σύμβασης άνω των ορίων για </w:t>
      </w:r>
      <w:proofErr w:type="spellStart"/>
      <w:r w:rsidRPr="00BB6AC2">
        <w:t>την</w:t>
      </w:r>
      <w:r w:rsidRPr="0021441A">
        <w:t>«Ανάπτυξη</w:t>
      </w:r>
      <w:proofErr w:type="spellEnd"/>
      <w:r w:rsidRPr="0021441A">
        <w:t xml:space="preserve"> Δικτύου Χωριστής Συλλογής </w:t>
      </w:r>
      <w:proofErr w:type="spellStart"/>
      <w:r w:rsidRPr="0021441A">
        <w:t>Βιοαποβλήτων</w:t>
      </w:r>
      <w:proofErr w:type="spellEnd"/>
      <w:r w:rsidRPr="0021441A">
        <w:t xml:space="preserve"> Δήμου Διονύσου –ΥΠΟΕΡΓΟ1:«Προμήθεια εξοπλισμού (καφέ </w:t>
      </w:r>
      <w:proofErr w:type="spellStart"/>
      <w:r w:rsidRPr="0021441A">
        <w:t>κάδων–σάκων</w:t>
      </w:r>
      <w:proofErr w:type="spellEnd"/>
      <w:r w:rsidRPr="0021441A">
        <w:t xml:space="preserve">) απορριμμάτων για τη συλλογή </w:t>
      </w:r>
      <w:proofErr w:type="spellStart"/>
      <w:r w:rsidRPr="0021441A">
        <w:t>βιοαποβλήτων</w:t>
      </w:r>
      <w:proofErr w:type="spellEnd"/>
      <w:r w:rsidRPr="0021441A">
        <w:t>»</w:t>
      </w:r>
      <w:r>
        <w:rPr>
          <w:rFonts w:cs="Arial"/>
        </w:rPr>
        <w:t xml:space="preserve"> του Δήμου Διονύσου, προσφέρω τις παρακάτω τιμές:</w:t>
      </w:r>
    </w:p>
    <w:p w:rsidR="00ED6F2C" w:rsidRDefault="00ED6F2C" w:rsidP="00ED6F2C">
      <w:pPr>
        <w:rPr>
          <w:rFonts w:cs="Arial"/>
        </w:rPr>
      </w:pPr>
    </w:p>
    <w:p w:rsidR="00ED6F2C" w:rsidRDefault="00ED6F2C" w:rsidP="00ED6F2C">
      <w:pPr>
        <w:rPr>
          <w:rFonts w:cs="Arial"/>
        </w:rPr>
      </w:pPr>
    </w:p>
    <w:tbl>
      <w:tblPr>
        <w:tblW w:w="5000" w:type="pct"/>
        <w:tblLook w:val="04A0"/>
      </w:tblPr>
      <w:tblGrid>
        <w:gridCol w:w="521"/>
        <w:gridCol w:w="3438"/>
        <w:gridCol w:w="1136"/>
        <w:gridCol w:w="1165"/>
        <w:gridCol w:w="1118"/>
        <w:gridCol w:w="1144"/>
      </w:tblGrid>
      <w:tr w:rsidR="00ED6F2C" w:rsidRPr="00CD262D" w:rsidTr="008929F0">
        <w:trPr>
          <w:trHeight w:val="9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ΠΟΣΟΤΗΤΑ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ΤΙΜΗ ΜΟΝΑΔΟΣ (€)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ED6F2C" w:rsidRPr="00CD262D" w:rsidTr="008929F0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ΤΜΗΜΑ Α</w:t>
            </w:r>
          </w:p>
        </w:tc>
      </w:tr>
      <w:tr w:rsidR="00ED6F2C" w:rsidRPr="00CD262D" w:rsidTr="008929F0">
        <w:trPr>
          <w:trHeight w:val="7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Πλαστικός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ΚάδοςΒιοαποβλήτων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10lt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ΤΕΜΑΧΙΟ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7.000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39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Πλαστικός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ΚάδοςΒιοαποβλήτων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240lt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ΤΕΜΑΧΙΟ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Πλαστικός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ΚάδοςΒιοαποβλήτων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 xml:space="preserve"> 660lt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ΤΕΜΑΧΙΟ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ΤΜΗΜΑ Γ</w:t>
            </w:r>
          </w:p>
        </w:tc>
      </w:tr>
      <w:tr w:rsidR="00ED6F2C" w:rsidRPr="00CD262D" w:rsidTr="008929F0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Πλαστικός Σάκος για Κάδους </w:t>
            </w: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eastAsia="en-US"/>
              </w:rPr>
              <w:t>Βιοαποβλήτων</w:t>
            </w:r>
            <w:proofErr w:type="spellEnd"/>
            <w:r w:rsidRPr="0041213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10</w:t>
            </w:r>
            <w:proofErr w:type="spellStart"/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lt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ΤΕΜΑΧΙΟ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eastAsia="en-US"/>
              </w:rPr>
              <w:t>135.000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6F2C" w:rsidRPr="00CD262D" w:rsidTr="008929F0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ΣΥΝΟΛΟ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D6F2C" w:rsidRPr="00CD262D" w:rsidTr="008929F0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Φ.Π.Α 24%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D6F2C" w:rsidRPr="00CD262D" w:rsidTr="008929F0">
        <w:trPr>
          <w:trHeight w:val="60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F2C" w:rsidRPr="00412131" w:rsidRDefault="00ED6F2C" w:rsidP="008929F0">
            <w:pP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412131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ΤΕΛΙΚΟ ΣΥΝΟΛΟ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2C" w:rsidRPr="00412131" w:rsidRDefault="00ED6F2C" w:rsidP="008929F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D6F2C" w:rsidRDefault="00ED6F2C" w:rsidP="00ED6F2C"/>
    <w:p w:rsidR="00ED6F2C" w:rsidRDefault="00ED6F2C" w:rsidP="00ED6F2C">
      <w:r>
        <w:t>Ολογράφως: ………………………….</w:t>
      </w:r>
    </w:p>
    <w:p w:rsidR="00ED6F2C" w:rsidRDefault="00ED6F2C" w:rsidP="00ED6F2C"/>
    <w:p w:rsidR="00ED6F2C" w:rsidRDefault="00ED6F2C" w:rsidP="00ED6F2C">
      <w:r>
        <w:t xml:space="preserve">[ Ο ΠΡΟΣΦΕΡΩΝ] </w:t>
      </w:r>
    </w:p>
    <w:p w:rsidR="00ED6F2C" w:rsidRPr="00BB6AC2" w:rsidRDefault="00ED6F2C" w:rsidP="00ED6F2C">
      <w:r>
        <w:t>[ΗΜΕΡΟΜΙΑ]</w:t>
      </w:r>
    </w:p>
    <w:p w:rsidR="00000000" w:rsidRDefault="00ED6F2C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6F2C"/>
    <w:rsid w:val="00E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6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D6F2C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6F2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ED6F2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ED6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2022-11-07T08:17:00Z</dcterms:created>
  <dcterms:modified xsi:type="dcterms:W3CDTF">2022-11-07T08:26:00Z</dcterms:modified>
</cp:coreProperties>
</file>